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6"/>
          <w:rFonts w:hint="default" w:ascii="Times New Roman" w:hAnsi="Times New Roman" w:eastAsia="Arial" w:cs="Times New Roman"/>
          <w:color w:val="1A1A1A"/>
          <w:kern w:val="0"/>
          <w:sz w:val="24"/>
          <w:lang w:val="ru-RU" w:bidi="ar"/>
        </w:rPr>
      </w:pPr>
      <w:r>
        <w:rPr>
          <w:rStyle w:val="6"/>
          <w:rFonts w:ascii="Times New Roman Bold" w:hAnsi="Times New Roman Bold" w:eastAsia="Arial" w:cs="Times New Roman Bold"/>
          <w:color w:val="1A1A1A"/>
          <w:kern w:val="0"/>
          <w:sz w:val="24"/>
          <w:lang w:val="ru-RU" w:bidi="ar"/>
        </w:rPr>
        <w:t>Вербальные единицы ко</w:t>
      </w:r>
      <w:r>
        <w:rPr>
          <w:rStyle w:val="6"/>
          <w:rFonts w:hint="default" w:ascii="Times New Roman" w:hAnsi="Times New Roman" w:eastAsia="Arial" w:cs="Times New Roman"/>
          <w:color w:val="1A1A1A"/>
          <w:kern w:val="0"/>
          <w:sz w:val="24"/>
          <w:lang w:val="ru-RU" w:bidi="ar"/>
        </w:rPr>
        <w:t>нцепта «Великий шелковый путь» в диахроническом представлении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SimSun" w:cs="Times New Roman"/>
          <w:color w:val="000000" w:themeColor="text1"/>
          <w:kern w:val="0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 w:themeColor="text1"/>
          <w:kern w:val="0"/>
          <w:sz w:val="24"/>
          <w:lang w:val="ru-RU"/>
          <w14:textFill>
            <w14:solidFill>
              <w14:schemeClr w14:val="tx1"/>
            </w14:solidFill>
          </w14:textFill>
        </w:rPr>
        <w:t>Хамити Инкар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SimSun" w:cs="Times New Roman"/>
          <w:i/>
          <w:iCs/>
          <w:color w:val="000000" w:themeColor="text1"/>
          <w:kern w:val="0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/>
          <w:iCs/>
          <w:color w:val="000000" w:themeColor="text1"/>
          <w:kern w:val="0"/>
          <w:sz w:val="24"/>
          <w:lang w:val="ru-RU"/>
          <w14:textFill>
            <w14:solidFill>
              <w14:schemeClr w14:val="tx1"/>
            </w14:solidFill>
          </w14:textFill>
        </w:rPr>
        <w:t>Аспирант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SimSun" w:cs="Times New Roman"/>
          <w:i/>
          <w:iCs/>
          <w:color w:val="000000" w:themeColor="text1"/>
          <w:kern w:val="0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/>
          <w:iCs/>
          <w:color w:val="000000" w:themeColor="text1"/>
          <w:kern w:val="0"/>
          <w:sz w:val="24"/>
          <w:lang w:val="ru-RU"/>
          <w14:textFill>
            <w14:solidFill>
              <w14:schemeClr w14:val="tx1"/>
            </w14:solidFill>
          </w14:textFill>
        </w:rPr>
        <w:t>Высшая школа перевода (факультет), Московский государственный университет</w:t>
      </w:r>
      <w:r>
        <w:rPr>
          <w:rFonts w:ascii="Times New Roman" w:hAnsi="Times New Roman" w:eastAsia="SimSun" w:cs="Times New Roman"/>
          <w:i/>
          <w:iCs/>
          <w:color w:val="000000" w:themeColor="text1"/>
          <w:kern w:val="0"/>
          <w:sz w:val="24"/>
          <w:lang w:val="ru-RU"/>
          <w14:textFill>
            <w14:solidFill>
              <w14:schemeClr w14:val="tx1"/>
            </w14:solidFill>
          </w14:textFill>
        </w:rPr>
        <w:t xml:space="preserve"> имени М.В. Ломоносова,</w:t>
      </w:r>
      <w:r>
        <w:rPr>
          <w:rFonts w:ascii="Times New Roman" w:hAnsi="Times New Roman" w:eastAsia="SimSun" w:cs="Times New Roman"/>
          <w:i/>
          <w:i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SimSun" w:cs="Times New Roman"/>
          <w:i/>
          <w:iCs/>
          <w:color w:val="000000" w:themeColor="text1"/>
          <w:kern w:val="0"/>
          <w:sz w:val="24"/>
          <w:lang w:val="ru-RU"/>
          <w14:textFill>
            <w14:solidFill>
              <w14:schemeClr w14:val="tx1"/>
            </w14:solidFill>
          </w14:textFill>
        </w:rPr>
        <w:t>Москва, Россия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SimSun" w:cs="Times New Roman"/>
          <w:i/>
          <w:iCs/>
          <w:color w:val="000000" w:themeColor="text1"/>
          <w:kern w:val="0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/>
          <w:i/>
          <w:iCs/>
          <w:color w:val="000000" w:themeColor="text1"/>
          <w:kern w:val="0"/>
          <w:sz w:val="24"/>
          <w:lang w:val="en-US"/>
          <w14:textFill>
            <w14:solidFill>
              <w14:schemeClr w14:val="tx1"/>
            </w14:solidFill>
          </w14:textFill>
        </w:rPr>
        <w:t xml:space="preserve">E-mail: </w:t>
      </w:r>
      <w:r>
        <w:rPr>
          <w:rFonts w:hint="default" w:ascii="Times New Roman" w:hAnsi="Times New Roman" w:eastAsia="SimSun"/>
          <w:i/>
          <w:iCs/>
          <w:color w:val="000000" w:themeColor="text1"/>
          <w:kern w:val="0"/>
          <w:sz w:val="24"/>
          <w:lang w:val="ru-RU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imSun"/>
          <w:i/>
          <w:iCs/>
          <w:color w:val="000000" w:themeColor="text1"/>
          <w:kern w:val="0"/>
          <w:sz w:val="24"/>
          <w:lang w:val="ru-RU"/>
          <w14:textFill>
            <w14:solidFill>
              <w14:schemeClr w14:val="tx1"/>
            </w14:solidFill>
          </w14:textFill>
        </w:rPr>
        <w:instrText xml:space="preserve"> HYPERLINK "mailto:inkar0320@yandex.ru" </w:instrText>
      </w:r>
      <w:r>
        <w:rPr>
          <w:rFonts w:hint="default" w:ascii="Times New Roman" w:hAnsi="Times New Roman" w:eastAsia="SimSun"/>
          <w:i/>
          <w:iCs/>
          <w:color w:val="000000" w:themeColor="text1"/>
          <w:kern w:val="0"/>
          <w:sz w:val="24"/>
          <w:lang w:val="ru-RU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SimSun"/>
          <w:i/>
          <w:iCs/>
          <w:color w:val="000000" w:themeColor="text1"/>
          <w:kern w:val="0"/>
          <w:sz w:val="24"/>
          <w:lang w:val="ru-RU"/>
          <w14:textFill>
            <w14:solidFill>
              <w14:schemeClr w14:val="tx1"/>
            </w14:solidFill>
          </w14:textFill>
        </w:rPr>
        <w:t>inkar0320@yandex.ru</w:t>
      </w:r>
      <w:r>
        <w:rPr>
          <w:rFonts w:hint="default" w:ascii="Times New Roman" w:hAnsi="Times New Roman" w:eastAsia="SimSun"/>
          <w:i/>
          <w:iCs/>
          <w:color w:val="000000" w:themeColor="text1"/>
          <w:kern w:val="0"/>
          <w:sz w:val="24"/>
          <w:lang w:val="ru-RU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imSun"/>
          <w:i/>
          <w:iCs/>
          <w:color w:val="000000" w:themeColor="text1"/>
          <w:kern w:val="0"/>
          <w:sz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ind w:firstLine="709"/>
        <w:rPr>
          <w:rFonts w:hint="eastAsia" w:ascii="Times New Roman Regular" w:hAnsi="Times New Roman Regular" w:eastAsia="SimSun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SimSun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Концепт – объемный ментальный</w:t>
      </w:r>
      <w:r>
        <w:rPr>
          <w:rFonts w:hint="default" w:ascii="Times New Roman Regular" w:hAnsi="Times New Roman Regular" w:eastAsia="SimSun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 Regular" w:hAnsi="Times New Roman Regular" w:eastAsia="SimSun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лингвокультурный феномен со сложной семантической структурой. Это значит, что любой концепт включает в себя несколько элементов разного порядка и что у него есть, помимо эксплицитной</w:t>
      </w:r>
      <w:r>
        <w:rPr>
          <w:rFonts w:hint="default" w:ascii="Times New Roman Regular" w:hAnsi="Times New Roman Regular" w:eastAsia="SimSun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Times New Roman Regular" w:hAnsi="Times New Roman Regular" w:eastAsia="SimSun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«видимой»</w:t>
      </w:r>
      <w:r>
        <w:rPr>
          <w:rFonts w:hint="default" w:ascii="Times New Roman Regular" w:hAnsi="Times New Roman Regular" w:eastAsia="SimSun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 Regular" w:hAnsi="Times New Roman Regular" w:eastAsia="SimSun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формально-содержательной части, имплицитная</w:t>
      </w:r>
      <w:r>
        <w:rPr>
          <w:rFonts w:hint="default" w:ascii="Times New Roman Regular" w:hAnsi="Times New Roman Regular" w:eastAsia="SimSun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Times New Roman Regular" w:hAnsi="Times New Roman Regular" w:eastAsia="SimSun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«невидимая»</w:t>
      </w:r>
      <w:r>
        <w:rPr>
          <w:rFonts w:hint="default" w:ascii="Times New Roman Regular" w:hAnsi="Times New Roman Regular" w:eastAsia="SimSun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 Regular" w:hAnsi="Times New Roman Regular" w:eastAsia="SimSun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часть, запечатленная в исторической памяти народа, но, как правило, забытая носителями языка и потому требующая обнаружения, расшифровки и тщательного лингвистического анализа. Согласно концепции Ю. С. Степанова, речь идет о трех слоях</w:t>
      </w:r>
      <w:r>
        <w:rPr>
          <w:rFonts w:hint="default" w:ascii="Times New Roman Regular" w:hAnsi="Times New Roman Regular" w:eastAsia="SimSun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, это</w:t>
      </w:r>
      <w:r>
        <w:rPr>
          <w:rFonts w:ascii="Times New Roman Regular" w:hAnsi="Times New Roman Regular" w:eastAsia="SimSun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: 1) основной, актуальный признак; 2) совокупность неактуальных исторических, частично осознаваемых признаков; 3) этимологический признак, вовсе не осознаваемая внутренняя форма, сохраненная в языке [Степанов 2004: 43]. Центральное место в концептуальном анализе занимают исследование второго и третьего, глубинного слоя и реконструкция исходного значения, так как это связано с ведущей функцией концепта – культурно-исторической. </w:t>
      </w:r>
    </w:p>
    <w:p>
      <w:pPr>
        <w:widowControl/>
        <w:ind w:firstLine="709"/>
        <w:rPr>
          <w:rStyle w:val="6"/>
          <w:rFonts w:ascii="Times New Roman Regular" w:hAnsi="Times New Roman Regular" w:eastAsia="Arial" w:cs="Times New Roman Regular"/>
          <w:color w:val="1A1A1A"/>
          <w:kern w:val="0"/>
          <w:sz w:val="24"/>
          <w:lang w:val="ru-RU" w:bidi="ar"/>
        </w:rPr>
      </w:pPr>
      <w:r>
        <w:rPr>
          <w:rFonts w:ascii="Times New Roman Regular" w:hAnsi="Times New Roman Regular" w:eastAsia="SimSun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Этимологическая составляющая определяется благодаря внутренней форме слова, которая, в свою очередь, является ключевым средством репрезентации</w:t>
      </w:r>
      <w:r>
        <w:rPr>
          <w:rFonts w:hint="default" w:ascii="Times New Roman Regular" w:hAnsi="Times New Roman Regular" w:eastAsia="SimSun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признака</w:t>
      </w:r>
      <w:r>
        <w:rPr>
          <w:rFonts w:ascii="Times New Roman Regular" w:hAnsi="Times New Roman Regular" w:eastAsia="SimSun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. При этом этимология служит дополнительным средством мотивации ценностной составляющей концепта [Кононова 2012: 55]. 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«Функциональный подход, применяемый к сравнению следующих друг за другом синхронных срезов языковой системы, приводит нас к пониманию диахронического анализа как последовательного проецирования одного синхронного среза на другой. С помощью проекции мы определяем меняющийся функциональный объем проходящего в системе изменения и устанавливаем диахронические отношения между соотносительными явлениями сравниваемых стадий» [Барнет 1978: 141]. А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 Regular" w:hAnsi="Times New Roman Regular" w:eastAsia="SimSun" w:cs="Times New Roman Regular"/>
          <w:sz w:val="24"/>
          <w:lang w:val="ru-RU"/>
        </w:rPr>
        <w:t xml:space="preserve">«влияние общественно-исторических условий на языковую деятельность в социумах отражается на динамике языковой нормы национального языка» </w:t>
      </w:r>
      <w:r>
        <w:rPr>
          <w:rFonts w:ascii="Times New Roman Regular" w:hAnsi="Times New Roman Regular" w:eastAsia="SimSun" w:cs="Times New Roman Regular"/>
          <w:sz w:val="24"/>
          <w:lang w:val="ru-RU" w:bidi="ar"/>
        </w:rPr>
        <w:t xml:space="preserve">[Миронова 2015: </w:t>
      </w:r>
      <w:r>
        <w:rPr>
          <w:rFonts w:ascii="Times New Roman Regular" w:hAnsi="Times New Roman Regular" w:eastAsia="SimSun" w:cs="Times New Roman Regular"/>
          <w:sz w:val="24"/>
          <w:lang w:val="ru-RU"/>
        </w:rPr>
        <w:t>216].</w:t>
      </w:r>
      <w:r>
        <w:rPr>
          <w:rFonts w:ascii="Times New Roman" w:hAnsi="Times New Roman" w:eastAsia="SimSun"/>
          <w:sz w:val="28"/>
          <w:szCs w:val="28"/>
          <w:lang w:val="ru-RU"/>
        </w:rPr>
        <w:t xml:space="preserve"> </w:t>
      </w:r>
    </w:p>
    <w:p>
      <w:pPr>
        <w:widowControl/>
        <w:ind w:firstLine="709"/>
        <w:rPr>
          <w:rFonts w:ascii="Times New Roman Regular" w:hAnsi="Times New Roman Regular" w:eastAsia="Times New Roman" w:cs="Times New Roman Regular"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SimSun" w:cs="Times New Roman Regular"/>
          <w:sz w:val="24"/>
          <w:lang w:val="ru-RU"/>
        </w:rPr>
        <w:t>Цель работы —</w:t>
      </w:r>
      <w:r>
        <w:rPr>
          <w:rFonts w:ascii="Times New Roman Regular" w:hAnsi="Times New Roman Regular" w:eastAsia="Times New Roman" w:cs="Times New Roman Regular"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этимологический анализ концепта «Великий шелковый путь», а также изучение его диахронического развития в китайском и русском медиадискурсах </w:t>
      </w:r>
      <w:r>
        <w:rPr>
          <w:rFonts w:ascii="Times New Roman Regular" w:hAnsi="Times New Roman Regular" w:cs="Times New Roman Regular"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первой половины</w:t>
      </w:r>
      <w:r>
        <w:rPr>
          <w:rFonts w:ascii="Times New Roman Regular" w:hAnsi="Times New Roman Regular" w:eastAsia="Times New Roman" w:cs="Times New Roman Regular"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 Regular" w:hAnsi="Times New Roman Regular" w:eastAsia="Times New Roman" w:cs="Times New Roman Regular"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XX</w:t>
      </w:r>
      <w:r>
        <w:rPr>
          <w:rFonts w:ascii="Times New Roman Regular" w:hAnsi="Times New Roman Regular" w:eastAsia="Times New Roman" w:cs="Times New Roman Regular"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 Regular" w:hAnsi="Times New Roman Regular" w:cs="Times New Roman Regular"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века через анализ вербальных единиц. Мы рассмотрели этимологию понятия «Шелковый путь» через этимологию слова «шелк» и проследили путь становления номинации «Великий шелковый путь» в Китае и России как историю переводов: от термина</w:t>
      </w:r>
      <w:r>
        <w:rPr>
          <w:lang w:val="ru-RU"/>
        </w:rPr>
        <w:t xml:space="preserve"> «</w:t>
      </w:r>
      <w:r>
        <w:rPr>
          <w:rFonts w:ascii="Times New Roman Regular" w:hAnsi="Times New Roman Regular" w:cs="Times New Roman Regular"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Seidenstrassen», предложенного Рихтгофеном в </w:t>
      </w:r>
      <w:r>
        <w:rPr>
          <w:rFonts w:ascii="Times New Roman Regular" w:hAnsi="Times New Roman Regular" w:cs="Times New Roman Regular"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XIX</w:t>
      </w:r>
      <w:r>
        <w:rPr>
          <w:rFonts w:ascii="Times New Roman Regular" w:hAnsi="Times New Roman Regular" w:cs="Times New Roman Regular"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веке, через западноевропейские переводы — к современному имени рассматриваемого концепта в китайском и русском языках. Мы о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пирались на работы китайских исследователей: Ван Цзицина, У Гои, Лю Цзиньбао и др. </w:t>
      </w:r>
    </w:p>
    <w:p>
      <w:pPr>
        <w:widowControl/>
        <w:shd w:val="clear" w:color="auto" w:fill="FFFFFF"/>
        <w:ind w:firstLine="709"/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В конце 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XIX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века – первой половине 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XX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века не существовало единого названия для Шелкового пути ни в немецком, ни в китайском, ни в русском языке. На материале «Шелкового пути» мы можем наблюдать процесс постепенного принятия и самостоятельного выбора термина для иностранного понятия в китайской и русской лингвокультурах.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ind w:firstLine="709"/>
        <w:rPr>
          <w:rFonts w:hint="eastAsia"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В результате сравнительно-исторического анализа были сделаны следующие выводы:</w:t>
      </w:r>
    </w:p>
    <w:p>
      <w:pPr>
        <w:pStyle w:val="7"/>
        <w:widowControl/>
        <w:numPr>
          <w:ilvl w:val="0"/>
          <w:numId w:val="1"/>
        </w:numPr>
        <w:ind w:left="0" w:firstLine="709"/>
        <w:rPr>
          <w:rFonts w:hint="eastAsia"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В английском, китайском и русском языках существовали смешанные варианты употребления термина: 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road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/ 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route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/ 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way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道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/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路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, путь/дорога.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ind w:left="0" w:firstLine="709"/>
        <w:rPr>
          <w:rFonts w:hint="eastAsia" w:ascii="Times New Roman Regular" w:hAnsi="Times New Roman Regular" w:cs="Times New Roman Regular"/>
          <w:i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Из-за специфики китайского языка китайские понятия с одинаковым значением могут быть отражены в разных словах, с чем связана большая вариативность терминов. В том числе для обозначения шелка существует три варианта: «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绸缎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» («шелк и атлас»), «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丝绸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» («шелковая ма</w:t>
      </w:r>
      <w:bookmarkStart w:id="1" w:name="_GoBack"/>
      <w:bookmarkEnd w:id="1"/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терия»), «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丝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» («шелковинка»), (то есть вариантов номинации на китайском языке было больше, чем на других языках). До 1950-х годов   «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丝路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» (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Дорога шелка») и «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丝道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» (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Путь шелка») были официальными номинациями, только после образования КНР в официальном дискурсе постепенно распространяется термин «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丝绸之路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» («Шелковый путь») вместо «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丝路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» (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Дорога шелка») и «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丝道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» (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Путь шелка»).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ind w:left="0" w:firstLine="709"/>
        <w:rPr>
          <w:rFonts w:hint="eastAsia" w:ascii="Times New Roman Regular" w:hAnsi="Times New Roman Regular" w:cs="Times New Roman Regular"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Китайская версия перевода появилась раньше, чем русская: в</w:t>
      </w:r>
      <w:r>
        <w:rPr>
          <w:rStyle w:val="4"/>
          <w:rFonts w:ascii="Times New Roman Regular" w:hAnsi="Times New Roman Regular" w:cs="Times New Roman Regular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1929 году впервые были напечатаны китайские термины 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丝路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» (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Дорога шелка») и «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丝道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» (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Путь шелка»), которые являются историческими формами вербализации концепта «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丝绸之路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», отличаясь от актуальной номинации «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丝绸之路</w:t>
      </w: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» («Шелковый путь»). Русский перевод термина – «Шелковый путь» – появился позднее, а именно в 1934 году.</w:t>
      </w:r>
      <w:r>
        <w:rPr>
          <w:rStyle w:val="4"/>
          <w:rFonts w:ascii="Times New Roman Regular" w:hAnsi="Times New Roman Regular" w:cs="Times New Roman Regular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after="150"/>
        <w:jc w:val="center"/>
        <w:rPr>
          <w:rFonts w:ascii="Times New Roman" w:hAnsi="Times New Roman" w:eastAsia="SimSun" w:cs="Times New Roman"/>
          <w:b/>
          <w:bCs/>
          <w:color w:val="000000" w:themeColor="text1"/>
          <w:kern w:val="0"/>
          <w:sz w:val="24"/>
          <w:lang w:val="ru-RU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after="150"/>
        <w:jc w:val="center"/>
        <w:rPr>
          <w:rFonts w:hint="eastAsia" w:ascii="Times New Roman Regular" w:hAnsi="Times New Roman Regular" w:cs="Times New Roman Regular"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SimSun" w:cs="Times New Roman Regular"/>
          <w:b/>
          <w:bCs/>
          <w:color w:val="000000" w:themeColor="text1"/>
          <w:kern w:val="0"/>
          <w:sz w:val="24"/>
          <w:lang w:val="ru-RU"/>
          <w14:textFill>
            <w14:solidFill>
              <w14:schemeClr w14:val="tx1"/>
            </w14:solidFill>
          </w14:textFill>
        </w:rPr>
        <w:t>Литература</w:t>
      </w:r>
    </w:p>
    <w:p>
      <w:pPr>
        <w:widowControl/>
        <w:ind w:firstLine="709"/>
        <w:rPr>
          <w:rFonts w:ascii="Times New Roman Regular" w:hAnsi="Times New Roman Regular" w:eastAsia="Times New Roman" w:cs="Times New Roman Regular"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2"/>
        </w:numP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Степанов Ю. С. Константы. Словарь русской культуры. М., 2004. </w:t>
      </w:r>
    </w:p>
    <w:p>
      <w:pPr>
        <w:pStyle w:val="7"/>
        <w:numPr>
          <w:ilvl w:val="0"/>
          <w:numId w:val="2"/>
        </w:numP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Кононова И. В. Структура лингвокультурного концепта: методы выявления и механизмы семантизации // Вестник Ленинградского государственного университета им. А. С. Пушкина. 2012. С. 49</w:t>
      </w:r>
      <w:bookmarkStart w:id="0" w:name="_Hlk158621171"/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–</w:t>
      </w:r>
      <w:bookmarkEnd w:id="0"/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60.</w:t>
      </w:r>
    </w:p>
    <w:p>
      <w:pPr>
        <w:pStyle w:val="7"/>
        <w:numPr>
          <w:ilvl w:val="0"/>
          <w:numId w:val="2"/>
        </w:numP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Барнет В. К вопросу о методологии синхронного среза в диахронии // Языкознание в Чехословакии: сборник статей 1956–1974. М., 1978. С. 134–141.</w:t>
      </w:r>
    </w:p>
    <w:p>
      <w:pPr>
        <w:pStyle w:val="7"/>
        <w:numPr>
          <w:ilvl w:val="0"/>
          <w:numId w:val="2"/>
        </w:numPr>
        <w:rPr>
          <w:rFonts w:hint="eastAsia"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Миронова Н. Н. Переключение языкового кода в ситуации двуязычия // Перевод как средство взаимодействия культур: II Международная научная конференция. Материалы конференции. М., 2015. С.214–220.</w:t>
      </w:r>
    </w:p>
    <w:p>
      <w:pPr>
        <w:ind w:firstLine="709"/>
        <w:rPr>
          <w:lang w:val="ru-RU"/>
        </w:rPr>
      </w:pPr>
    </w:p>
    <w:sectPr>
      <w:pgSz w:w="11906" w:h="16838"/>
      <w:pgMar w:top="1134" w:right="1361" w:bottom="1134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D5DCE"/>
    <w:multiLevelType w:val="singleLevel"/>
    <w:tmpl w:val="B3ED5D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BE2C6FA"/>
    <w:multiLevelType w:val="multilevel"/>
    <w:tmpl w:val="BBE2C6FA"/>
    <w:lvl w:ilvl="0" w:tentative="0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FA2FD5"/>
    <w:rsid w:val="00166957"/>
    <w:rsid w:val="002C4364"/>
    <w:rsid w:val="005115B2"/>
    <w:rsid w:val="0073302F"/>
    <w:rsid w:val="00737388"/>
    <w:rsid w:val="00864DEC"/>
    <w:rsid w:val="008C630E"/>
    <w:rsid w:val="00986F60"/>
    <w:rsid w:val="009F2AC6"/>
    <w:rsid w:val="00AA2FCD"/>
    <w:rsid w:val="00CC5D88"/>
    <w:rsid w:val="00D3450B"/>
    <w:rsid w:val="37BA692A"/>
    <w:rsid w:val="5D803062"/>
    <w:rsid w:val="5FFA2FD5"/>
    <w:rsid w:val="6D3F9411"/>
    <w:rsid w:val="77BA2DAC"/>
    <w:rsid w:val="C80EAAFD"/>
    <w:rsid w:val="ED7FF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character" w:styleId="6">
    <w:name w:val="Strong"/>
    <w:basedOn w:val="2"/>
    <w:autoRedefine/>
    <w:qFormat/>
    <w:uiPriority w:val="0"/>
    <w:rPr>
      <w:b/>
    </w:rPr>
  </w:style>
  <w:style w:type="paragraph" w:styleId="7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648</Words>
  <Characters>4109</Characters>
  <Lines>74</Lines>
  <Paragraphs>18</Paragraphs>
  <TotalTime>47</TotalTime>
  <ScaleCrop>false</ScaleCrop>
  <LinksUpToDate>false</LinksUpToDate>
  <CharactersWithSpaces>4739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2024-02-12T12:10:00Z</dcterms:created>
  <dc:creator>НОСТРАНКА И</dc:creator>
  <cp:lastModifiedBy>Елена Мешкова</cp:lastModifiedBy>
  <dcterms:modified xsi:type="dcterms:W3CDTF">2024-05-05T17:18:06Z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C8395AB2F7034703A0F2C96C54E13C99_13</vt:lpwstr>
  </property>
</Properties>
</file>