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76" w:lineRule="auto"/>
        <w:rPr>
          <w:rFonts w:ascii="Roboto" w:cs="Roboto" w:eastAsia="Roboto" w:hAnsi="Roboto"/>
          <w:b w:val="1"/>
          <w:color w:val="353535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color w:val="353535"/>
          <w:sz w:val="28"/>
          <w:szCs w:val="28"/>
          <w:rtl w:val="0"/>
        </w:rPr>
        <w:t xml:space="preserve">Анализ данных детектора CLAS по электророждению одиночного пиона на протоне с помощью алгоритмов машинного обучения</w:t>
      </w:r>
    </w:p>
    <w:p w:rsidR="00000000" w:rsidDel="00000000" w:rsidP="00000000" w:rsidRDefault="00000000" w:rsidRPr="00000000" w14:paraId="00000002">
      <w:pPr>
        <w:shd w:fill="ffffff" w:val="clear"/>
        <w:spacing w:after="150" w:lineRule="auto"/>
        <w:rPr>
          <w:rFonts w:ascii="Roboto" w:cs="Roboto" w:eastAsia="Roboto" w:hAnsi="Roboto"/>
          <w:b w:val="1"/>
          <w:color w:val="353535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color w:val="353535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hd w:fill="ffffff" w:val="clear"/>
        <w:spacing w:after="150" w:lineRule="auto"/>
        <w:rPr>
          <w:rFonts w:ascii="Roboto" w:cs="Roboto" w:eastAsia="Roboto" w:hAnsi="Roboto"/>
          <w:b w:val="1"/>
          <w:i w:val="1"/>
          <w:color w:val="353535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353535"/>
          <w:sz w:val="23"/>
          <w:szCs w:val="23"/>
          <w:rtl w:val="0"/>
        </w:rPr>
        <w:t xml:space="preserve">Голда Андрей Васильевич</w:t>
      </w:r>
    </w:p>
    <w:p w:rsidR="00000000" w:rsidDel="00000000" w:rsidP="00000000" w:rsidRDefault="00000000" w:rsidRPr="00000000" w14:paraId="00000004">
      <w:pPr>
        <w:shd w:fill="ffffff" w:val="clear"/>
        <w:spacing w:after="150" w:lineRule="auto"/>
        <w:rPr>
          <w:rFonts w:ascii="Roboto" w:cs="Roboto" w:eastAsia="Roboto" w:hAnsi="Roboto"/>
          <w:i w:val="1"/>
          <w:color w:val="353535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i w:val="1"/>
          <w:color w:val="353535"/>
          <w:sz w:val="23"/>
          <w:szCs w:val="23"/>
          <w:rtl w:val="0"/>
        </w:rPr>
        <w:t xml:space="preserve">Аспирант</w:t>
      </w:r>
    </w:p>
    <w:p w:rsidR="00000000" w:rsidDel="00000000" w:rsidP="00000000" w:rsidRDefault="00000000" w:rsidRPr="00000000" w14:paraId="00000005">
      <w:pPr>
        <w:shd w:fill="ffffff" w:val="clear"/>
        <w:spacing w:after="150" w:lineRule="auto"/>
        <w:rPr>
          <w:rFonts w:ascii="Roboto" w:cs="Roboto" w:eastAsia="Roboto" w:hAnsi="Roboto"/>
          <w:color w:val="353535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i w:val="1"/>
          <w:color w:val="353535"/>
          <w:sz w:val="23"/>
          <w:szCs w:val="23"/>
          <w:rtl w:val="0"/>
        </w:rPr>
        <w:t xml:space="preserve">Московский государственный университет имени М.В.Ломоносова,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50" w:lineRule="auto"/>
        <w:rPr>
          <w:rFonts w:ascii="Roboto" w:cs="Roboto" w:eastAsia="Roboto" w:hAnsi="Roboto"/>
          <w:color w:val="353535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i w:val="1"/>
          <w:color w:val="353535"/>
          <w:sz w:val="23"/>
          <w:szCs w:val="23"/>
          <w:rtl w:val="0"/>
        </w:rPr>
        <w:t xml:space="preserve">Физический факультет, Москва, Россия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50" w:lineRule="auto"/>
        <w:rPr>
          <w:rFonts w:ascii="Roboto" w:cs="Roboto" w:eastAsia="Roboto" w:hAnsi="Roboto"/>
          <w:i w:val="1"/>
          <w:color w:val="353535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i w:val="1"/>
          <w:color w:val="353535"/>
          <w:sz w:val="23"/>
          <w:szCs w:val="23"/>
          <w:rtl w:val="0"/>
        </w:rPr>
        <w:t xml:space="preserve">E–mail: </w:t>
      </w:r>
      <w:hyperlink r:id="rId7">
        <w:r w:rsidDel="00000000" w:rsidR="00000000" w:rsidRPr="00000000">
          <w:rPr>
            <w:rFonts w:ascii="Roboto" w:cs="Roboto" w:eastAsia="Roboto" w:hAnsi="Roboto"/>
            <w:i w:val="1"/>
            <w:color w:val="0563c1"/>
            <w:sz w:val="23"/>
            <w:szCs w:val="23"/>
            <w:u w:val="single"/>
            <w:rtl w:val="0"/>
          </w:rPr>
          <w:t xml:space="preserve">golda.av15@physics.msu.ru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150" w:lineRule="auto"/>
        <w:rPr>
          <w:rFonts w:ascii="Roboto" w:cs="Roboto" w:eastAsia="Roboto" w:hAnsi="Roboto"/>
          <w:color w:val="35353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150" w:lineRule="auto"/>
        <w:jc w:val="both"/>
        <w:rPr>
          <w:rFonts w:ascii="Roboto" w:cs="Roboto" w:eastAsia="Roboto" w:hAnsi="Roboto"/>
          <w:color w:val="353535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53535"/>
          <w:sz w:val="23"/>
          <w:szCs w:val="23"/>
          <w:rtl w:val="0"/>
        </w:rPr>
        <w:t xml:space="preserve">     С каждым годом методы искусственного интеллекта и нейронные сети, в частности, становятся все более мощным инструментом для изучения различных областей науки. Физика элементраных частиц не является исключением. На основе алгоритмов искусственного интеллекта уже можно строить генераторы данных [1], подавлять шумы и фоновые процессы в данных, определять треки частиц [2] и так далее. Исследователи физики элементарных частиц работают с детекторами и, следовательно, с большими объемами данных, которые позволяют эффективно строить модели машинного обучения. Разнообразие типов детекторов позволяет идентифицировать типы частиц, их импульсы и энергии, что впоследствии позволяет извлечь сечение рассеяния реакции. Сечение реакции является основной величиной, которой оперируют физики, занимающиеся исследованием столкновений объектов в микромире. Именно сечения реакций определяют вероятность протекания реакций. </w:t>
      </w:r>
    </w:p>
    <w:p w:rsidR="00000000" w:rsidDel="00000000" w:rsidP="00000000" w:rsidRDefault="00000000" w:rsidRPr="00000000" w14:paraId="0000000A">
      <w:pPr>
        <w:shd w:fill="ffffff" w:val="clear"/>
        <w:spacing w:after="150" w:lineRule="auto"/>
        <w:jc w:val="both"/>
        <w:rPr>
          <w:rFonts w:ascii="Roboto" w:cs="Roboto" w:eastAsia="Roboto" w:hAnsi="Roboto"/>
          <w:color w:val="353535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53535"/>
          <w:sz w:val="23"/>
          <w:szCs w:val="23"/>
          <w:rtl w:val="0"/>
        </w:rPr>
        <w:t xml:space="preserve">В данной работе исследуются методы искусственного интеллекта в задаче предсказания дифференциальных сечений реакций в процессах рождения положительно заряженных пионов под действием электронов. При рассмотрении реакции рождения пиона:</w:t>
      </w:r>
    </w:p>
    <w:p w:rsidR="00000000" w:rsidDel="00000000" w:rsidP="00000000" w:rsidRDefault="00000000" w:rsidRPr="00000000" w14:paraId="0000000B">
      <w:pPr>
        <w:jc w:val="center"/>
        <w:rPr>
          <w:rFonts w:ascii="Cambria Math" w:cs="Cambria Math" w:eastAsia="Cambria Math" w:hAnsi="Cambria Math"/>
          <w:color w:val="353535"/>
          <w:sz w:val="23"/>
          <w:szCs w:val="23"/>
        </w:rPr>
      </w:pPr>
      <m:oMath>
        <m:sSup>
          <m:sSupPr>
            <m:ctrlPr>
              <w:rPr>
                <w:rFonts w:ascii="Cambria Math" w:cs="Cambria Math" w:eastAsia="Cambria Math" w:hAnsi="Cambria Math"/>
                <w:color w:val="353535"/>
                <w:sz w:val="23"/>
                <w:szCs w:val="23"/>
              </w:rPr>
            </m:ctrlPr>
          </m:sSupPr>
          <m:e>
            <m:r>
              <w:rPr>
                <w:rFonts w:ascii="Cambria Math" w:cs="Cambria Math" w:eastAsia="Cambria Math" w:hAnsi="Cambria Math"/>
                <w:color w:val="353535"/>
                <w:sz w:val="23"/>
                <w:szCs w:val="23"/>
              </w:rPr>
              <m:t xml:space="preserve">e</m:t>
            </m:r>
          </m:e>
          <m:sup>
            <m:r>
              <w:rPr>
                <w:rFonts w:ascii="Cambria Math" w:cs="Cambria Math" w:eastAsia="Cambria Math" w:hAnsi="Cambria Math"/>
                <w:color w:val="353535"/>
                <w:sz w:val="23"/>
                <w:szCs w:val="23"/>
              </w:rPr>
              <m:t xml:space="preserve">-</m:t>
            </m:r>
          </m:sup>
        </m:sSup>
        <m:r>
          <w:rPr>
            <w:rFonts w:ascii="Cambria Math" w:cs="Cambria Math" w:eastAsia="Cambria Math" w:hAnsi="Cambria Math"/>
            <w:color w:val="353535"/>
            <w:sz w:val="23"/>
            <w:szCs w:val="23"/>
          </w:rPr>
          <m:t xml:space="preserve">+ p → </m:t>
        </m:r>
        <m:sSup>
          <m:sSupPr>
            <m:ctrlPr>
              <w:rPr>
                <w:rFonts w:ascii="Cambria Math" w:cs="Cambria Math" w:eastAsia="Cambria Math" w:hAnsi="Cambria Math"/>
                <w:color w:val="353535"/>
                <w:sz w:val="23"/>
                <w:szCs w:val="23"/>
              </w:rPr>
            </m:ctrlPr>
          </m:sSupPr>
          <m:e>
            <m:r>
              <w:rPr>
                <w:rFonts w:ascii="Cambria Math" w:cs="Cambria Math" w:eastAsia="Cambria Math" w:hAnsi="Cambria Math"/>
                <w:color w:val="353535"/>
                <w:sz w:val="23"/>
                <w:szCs w:val="23"/>
              </w:rPr>
              <m:t xml:space="preserve">e</m:t>
            </m:r>
          </m:e>
          <m:sup>
            <m:r>
              <w:rPr>
                <w:rFonts w:ascii="Cambria Math" w:cs="Cambria Math" w:eastAsia="Cambria Math" w:hAnsi="Cambria Math"/>
                <w:color w:val="353535"/>
                <w:sz w:val="23"/>
                <w:szCs w:val="23"/>
              </w:rPr>
              <m:t xml:space="preserve">-</m:t>
            </m:r>
          </m:sup>
        </m:sSup>
        <m:r>
          <w:rPr>
            <w:rFonts w:ascii="Cambria Math" w:cs="Cambria Math" w:eastAsia="Cambria Math" w:hAnsi="Cambria Math"/>
            <w:color w:val="353535"/>
            <w:sz w:val="23"/>
            <w:szCs w:val="23"/>
          </w:rPr>
          <m:t xml:space="preserve">+ n + </m:t>
        </m:r>
        <m:sSup>
          <m:sSupPr>
            <m:ctrlPr>
              <w:rPr>
                <w:rFonts w:ascii="Cambria Math" w:cs="Cambria Math" w:eastAsia="Cambria Math" w:hAnsi="Cambria Math"/>
                <w:color w:val="353535"/>
                <w:sz w:val="23"/>
                <w:szCs w:val="23"/>
              </w:rPr>
            </m:ctrlPr>
          </m:sSupPr>
          <m:e>
            <m:r>
              <w:rPr>
                <w:rFonts w:ascii="Cambria Math" w:cs="Cambria Math" w:eastAsia="Cambria Math" w:hAnsi="Cambria Math"/>
                <w:color w:val="353535"/>
                <w:sz w:val="23"/>
                <w:szCs w:val="23"/>
              </w:rPr>
              <m:t>π</m:t>
            </m:r>
          </m:e>
          <m:sup>
            <m:r>
              <w:rPr>
                <w:rFonts w:ascii="Cambria Math" w:cs="Cambria Math" w:eastAsia="Cambria Math" w:hAnsi="Cambria Math"/>
                <w:color w:val="353535"/>
                <w:sz w:val="23"/>
                <w:szCs w:val="23"/>
              </w:rPr>
              <m:t xml:space="preserve">+</m:t>
            </m:r>
          </m:sup>
        </m:sSup>
        <m:r>
          <w:rPr>
            <w:rFonts w:ascii="Cambria Math" w:cs="Cambria Math" w:eastAsia="Cambria Math" w:hAnsi="Cambria Math"/>
            <w:color w:val="353535"/>
            <w:sz w:val="23"/>
            <w:szCs w:val="23"/>
          </w:rPr>
          <m:t xml:space="preserve"> →  </m:t>
        </m:r>
        <m:sSup>
          <m:sSupPr>
            <m:ctrlPr>
              <w:rPr>
                <w:rFonts w:ascii="Cambria Math" w:cs="Cambria Math" w:eastAsia="Cambria Math" w:hAnsi="Cambria Math"/>
                <w:color w:val="353535"/>
                <w:sz w:val="23"/>
                <w:szCs w:val="23"/>
              </w:rPr>
            </m:ctrlPr>
          </m:sSupPr>
          <m:e>
            <m:r>
              <w:rPr>
                <w:rFonts w:ascii="Cambria Math" w:cs="Cambria Math" w:eastAsia="Cambria Math" w:hAnsi="Cambria Math"/>
                <w:color w:val="353535"/>
                <w:sz w:val="23"/>
                <w:szCs w:val="23"/>
              </w:rPr>
              <m:t xml:space="preserve">e</m:t>
            </m:r>
          </m:e>
          <m:sup>
            <m:r>
              <w:rPr>
                <w:rFonts w:ascii="Cambria Math" w:cs="Cambria Math" w:eastAsia="Cambria Math" w:hAnsi="Cambria Math"/>
                <w:color w:val="353535"/>
                <w:sz w:val="23"/>
                <w:szCs w:val="23"/>
              </w:rPr>
              <m:t xml:space="preserve">-</m:t>
            </m:r>
          </m:sup>
        </m:sSup>
        <m:r>
          <w:rPr>
            <w:rFonts w:ascii="Cambria Math" w:cs="Cambria Math" w:eastAsia="Cambria Math" w:hAnsi="Cambria Math"/>
            <w:color w:val="353535"/>
            <w:sz w:val="23"/>
            <w:szCs w:val="23"/>
          </w:rPr>
          <m:t xml:space="preserve">+ n  + ν+ </m:t>
        </m:r>
        <m:sSup>
          <m:sSupPr>
            <m:ctrlPr>
              <w:rPr>
                <w:rFonts w:ascii="Cambria Math" w:cs="Cambria Math" w:eastAsia="Cambria Math" w:hAnsi="Cambria Math"/>
                <w:color w:val="353535"/>
                <w:sz w:val="23"/>
                <w:szCs w:val="23"/>
              </w:rPr>
            </m:ctrlPr>
          </m:sSupPr>
          <m:e>
            <m:r>
              <w:rPr>
                <w:rFonts w:ascii="Cambria Math" w:cs="Cambria Math" w:eastAsia="Cambria Math" w:hAnsi="Cambria Math"/>
                <w:color w:val="353535"/>
                <w:sz w:val="23"/>
                <w:szCs w:val="23"/>
              </w:rPr>
              <m:t>μ</m:t>
            </m:r>
          </m:e>
          <m:sup>
            <m:r>
              <w:rPr>
                <w:rFonts w:ascii="Cambria Math" w:cs="Cambria Math" w:eastAsia="Cambria Math" w:hAnsi="Cambria Math"/>
                <w:color w:val="353535"/>
                <w:sz w:val="23"/>
                <w:szCs w:val="23"/>
              </w:rPr>
              <m:t xml:space="preserve">+</m:t>
            </m:r>
          </m:sup>
        </m:sSup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150" w:lineRule="auto"/>
        <w:jc w:val="both"/>
        <w:rPr>
          <w:rFonts w:ascii="Roboto" w:cs="Roboto" w:eastAsia="Roboto" w:hAnsi="Roboto"/>
          <w:color w:val="353535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53535"/>
          <w:sz w:val="23"/>
          <w:szCs w:val="23"/>
          <w:rtl w:val="0"/>
        </w:rPr>
        <w:t xml:space="preserve">был сформирован набор данных, на основе которого предсказывалось сечение реакции в различных областях фазового пространства для разных энергий пучка электронов. Обучаемым алгоритмом является полносвязная нейронная сеть с восьмью скрытыми слоями, который обучался с функцией потерь, не включающей в себя каких-либо теоретических знаний о процессе. Помимо стандартных процедур валидации для задачи регрессии в данной работе также представлены физически обоснованные сравнения неполяризованных структурных функций реакции, которые рассчитываются из предсказанных значений сечения. На основе данного алгоритма можно интерполировать и экстраполировать как значения сечений, так и значения структурных функций в различных областях фазового пространства, что представляет большую ценность в исследовании природы сильного взаимодействия. </w:t>
      </w:r>
    </w:p>
    <w:p w:rsidR="00000000" w:rsidDel="00000000" w:rsidP="00000000" w:rsidRDefault="00000000" w:rsidRPr="00000000" w14:paraId="0000000D">
      <w:pPr>
        <w:shd w:fill="ffffff" w:val="clear"/>
        <w:spacing w:after="150" w:lineRule="auto"/>
        <w:jc w:val="both"/>
        <w:rPr>
          <w:rFonts w:ascii="Roboto" w:cs="Roboto" w:eastAsia="Roboto" w:hAnsi="Roboto"/>
          <w:color w:val="35353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150" w:lineRule="auto"/>
        <w:rPr>
          <w:rFonts w:ascii="Roboto" w:cs="Roboto" w:eastAsia="Roboto" w:hAnsi="Roboto"/>
          <w:color w:val="353535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color w:val="353535"/>
          <w:sz w:val="23"/>
          <w:szCs w:val="23"/>
          <w:rtl w:val="0"/>
        </w:rPr>
        <w:t xml:space="preserve">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before="280" w:lineRule="auto"/>
        <w:ind w:left="720" w:hanging="360"/>
        <w:rPr>
          <w:rFonts w:ascii="Roboto" w:cs="Roboto" w:eastAsia="Roboto" w:hAnsi="Roboto"/>
          <w:color w:val="353535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555555"/>
          <w:sz w:val="23"/>
          <w:szCs w:val="23"/>
          <w:rtl w:val="0"/>
        </w:rPr>
        <w:t xml:space="preserve">T. Alghamdi, Y. Alanazi, M. Battaglieri, Ł. Bibrzycki, A. V. Golda, A. N. Hiller Blin, E. L. Isupov, Y. Li, L. Marsicano, W. Melnitchouk, V. I. Mokeev, G. Montaña, A. Pilloni, N. Sato, A. P. Szczepaniak, and T. Vittorini (2023). 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Toward a generative modeling analysis of CLAS exclusive 2π photoproduction. </w:t>
      </w:r>
      <w:r w:rsidDel="00000000" w:rsidR="00000000" w:rsidRPr="00000000">
        <w:rPr>
          <w:rFonts w:ascii="Roboto" w:cs="Roboto" w:eastAsia="Roboto" w:hAnsi="Roboto"/>
          <w:color w:val="555555"/>
          <w:sz w:val="23"/>
          <w:szCs w:val="23"/>
          <w:rtl w:val="0"/>
        </w:rPr>
        <w:t xml:space="preserve">Phys. Rev. D 108, 094030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280" w:before="0" w:lineRule="auto"/>
        <w:ind w:left="720" w:hanging="360"/>
        <w:rPr>
          <w:rFonts w:ascii="Roboto" w:cs="Roboto" w:eastAsia="Roboto" w:hAnsi="Roboto"/>
          <w:color w:val="353535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53535"/>
          <w:sz w:val="23"/>
          <w:szCs w:val="23"/>
          <w:rtl w:val="0"/>
        </w:rPr>
        <w:t xml:space="preserve">P. Thomadakis, A. Angelopoulos, G. Gavalian, N. Chrisochoides (2022). Using Machine Learning for Particle Track Identification in the CLAS12 Detector. </w:t>
      </w:r>
      <w:hyperlink r:id="rId8">
        <w:r w:rsidDel="00000000" w:rsidR="00000000" w:rsidRPr="00000000">
          <w:rPr>
            <w:rFonts w:ascii="Roboto" w:cs="Roboto" w:eastAsia="Roboto" w:hAnsi="Roboto"/>
            <w:color w:val="1f1f1f"/>
            <w:sz w:val="23"/>
            <w:szCs w:val="23"/>
            <w:rtl w:val="0"/>
          </w:rPr>
          <w:t xml:space="preserve">Computer Physics Communications</w:t>
        </w:r>
      </w:hyperlink>
      <w:r w:rsidDel="00000000" w:rsidR="00000000" w:rsidRPr="00000000">
        <w:rPr>
          <w:rFonts w:ascii="Roboto" w:cs="Roboto" w:eastAsia="Roboto" w:hAnsi="Roboto"/>
          <w:color w:val="1f1f1f"/>
          <w:sz w:val="23"/>
          <w:szCs w:val="23"/>
          <w:rtl w:val="0"/>
        </w:rPr>
        <w:t xml:space="preserve"> 276, 152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mbria Math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/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827A14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CB3A28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1f3763" w:themeColor="accent1" w:themeShade="00007F"/>
    </w:rPr>
  </w:style>
  <w:style w:type="paragraph" w:styleId="Heading5">
    <w:name w:val="heading 5"/>
    <w:basedOn w:val="Normal"/>
    <w:link w:val="Heading5Char"/>
    <w:uiPriority w:val="9"/>
    <w:qFormat w:val="1"/>
    <w:rsid w:val="00CB3A28"/>
    <w:pPr>
      <w:spacing w:after="100" w:afterAutospacing="1" w:before="100" w:beforeAutospacing="1"/>
      <w:outlineLvl w:val="4"/>
    </w:pPr>
    <w:rPr>
      <w:rFonts w:ascii="Times New Roman" w:cs="Times New Roman" w:eastAsia="Times New Roman" w:hAnsi="Times New Roman"/>
      <w:b w:val="1"/>
      <w:bCs w:val="1"/>
      <w:kern w:val="0"/>
      <w:sz w:val="20"/>
      <w:szCs w:val="20"/>
      <w:lang w:eastAsia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814A9E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  <w:lang w:eastAsia="en-GB"/>
    </w:rPr>
  </w:style>
  <w:style w:type="character" w:styleId="Strong">
    <w:name w:val="Strong"/>
    <w:basedOn w:val="DefaultParagraphFont"/>
    <w:uiPriority w:val="22"/>
    <w:qFormat w:val="1"/>
    <w:rsid w:val="00814A9E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814A9E"/>
    <w:rPr>
      <w:i w:val="1"/>
      <w:iCs w:val="1"/>
    </w:rPr>
  </w:style>
  <w:style w:type="character" w:styleId="Hyperlink">
    <w:name w:val="Hyperlink"/>
    <w:basedOn w:val="DefaultParagraphFont"/>
    <w:uiPriority w:val="99"/>
    <w:unhideWhenUsed w:val="1"/>
    <w:rsid w:val="00CB3A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B3A28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CB3A28"/>
    <w:pPr>
      <w:ind w:left="720"/>
      <w:contextualSpacing w:val="1"/>
    </w:pPr>
  </w:style>
  <w:style w:type="character" w:styleId="Heading5Char" w:customStyle="1">
    <w:name w:val="Heading 5 Char"/>
    <w:basedOn w:val="DefaultParagraphFont"/>
    <w:link w:val="Heading5"/>
    <w:uiPriority w:val="9"/>
    <w:rsid w:val="00CB3A28"/>
    <w:rPr>
      <w:rFonts w:ascii="Times New Roman" w:cs="Times New Roman" w:eastAsia="Times New Roman" w:hAnsi="Times New Roman"/>
      <w:b w:val="1"/>
      <w:bCs w:val="1"/>
      <w:kern w:val="0"/>
      <w:sz w:val="20"/>
      <w:szCs w:val="20"/>
      <w:lang w:eastAsia="en-GB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CB3A28"/>
    <w:rPr>
      <w:rFonts w:asciiTheme="majorHAnsi" w:cstheme="majorBidi" w:eastAsiaTheme="majorEastAsia" w:hAnsiTheme="majorHAnsi"/>
      <w:color w:val="1f3763" w:themeColor="accent1" w:themeShade="00007F"/>
    </w:rPr>
  </w:style>
  <w:style w:type="character" w:styleId="mjx-char" w:customStyle="1">
    <w:name w:val="mjx-char"/>
    <w:basedOn w:val="DefaultParagraphFont"/>
    <w:rsid w:val="00CB3A28"/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827A14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nchor-text" w:customStyle="1">
    <w:name w:val="anchor-text"/>
    <w:basedOn w:val="DefaultParagraphFont"/>
    <w:rsid w:val="00827A14"/>
  </w:style>
  <w:style w:type="character" w:styleId="PlaceholderText">
    <w:name w:val="Placeholder Text"/>
    <w:basedOn w:val="DefaultParagraphFont"/>
    <w:uiPriority w:val="99"/>
    <w:semiHidden w:val="1"/>
    <w:rsid w:val="00D71C23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golda.av15@physics.msu.ru" TargetMode="External"/><Relationship Id="rId8" Type="http://schemas.openxmlformats.org/officeDocument/2006/relationships/hyperlink" Target="https://www.sciencedirect.com/journal/computer-physics-communication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9TkmL2ssePVdO2jP1IH/ytsKQA==">CgMxLjA4AHIhMU5NTHdlOTZsRzRxV2daVG14eDdSNEhoYkhFZjNlbldE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2023-11-28T20:50:00Z</dcterms:created>
  <dc:creator>Andrey Golda</dc:creator>
</cp:coreProperties>
</file>