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21DBE" w:rsidRDefault="00321DBE">
      <w:pPr>
        <w:tabs>
          <w:tab w:val="left" w:pos="364"/>
        </w:tabs>
        <w:ind w:left="0" w:right="0" w:firstLine="426"/>
        <w:jc w:val="center"/>
      </w:pPr>
      <w:r>
        <w:rPr>
          <w:b/>
          <w:bCs/>
          <w:color w:val="000000"/>
          <w:shd w:val="clear" w:color="auto" w:fill="FFFFFF"/>
        </w:rPr>
        <w:t>Расчет коэффициентов распыления для полупроводников типа AIIIBIV, облученных ионами висмута</w:t>
      </w:r>
    </w:p>
    <w:p w:rsidR="00321DBE" w:rsidRDefault="00321DBE">
      <w:pPr>
        <w:ind w:left="0" w:right="0" w:firstLine="426"/>
        <w:jc w:val="center"/>
      </w:pPr>
      <w:r>
        <w:rPr>
          <w:rStyle w:val="a3"/>
          <w:b/>
          <w:bCs/>
          <w:color w:val="000000"/>
          <w:shd w:val="clear" w:color="auto" w:fill="FFFFFF"/>
        </w:rPr>
        <w:t>Кутлусурин И.Н.</w:t>
      </w:r>
    </w:p>
    <w:p w:rsidR="00321DBE" w:rsidRDefault="00321DBE">
      <w:pPr>
        <w:ind w:left="0" w:right="0" w:firstLine="426"/>
        <w:jc w:val="center"/>
      </w:pPr>
      <w:r>
        <w:rPr>
          <w:rStyle w:val="a3"/>
          <w:color w:val="000000"/>
          <w:shd w:val="clear" w:color="auto" w:fill="FFFFFF"/>
        </w:rPr>
        <w:t>студент, 4  курс специалитета</w:t>
      </w:r>
    </w:p>
    <w:p w:rsidR="00321DBE" w:rsidRDefault="00321DBE">
      <w:pPr>
        <w:spacing w:after="200"/>
        <w:ind w:left="0" w:right="0" w:firstLine="426"/>
        <w:jc w:val="center"/>
      </w:pPr>
      <w:r>
        <w:rPr>
          <w:rStyle w:val="a3"/>
          <w:color w:val="000000"/>
          <w:shd w:val="clear" w:color="auto" w:fill="FFFFFF"/>
        </w:rPr>
        <w:t>Московский государственный университет имени М.В.Ломоносова,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br/>
      </w:r>
      <w:r>
        <w:rPr>
          <w:rStyle w:val="a3"/>
          <w:color w:val="000000"/>
          <w:shd w:val="clear" w:color="auto" w:fill="FFFFFF"/>
        </w:rPr>
        <w:t>физический факультет, Москва, Россия</w:t>
      </w:r>
      <w:r>
        <w:rPr>
          <w:i/>
          <w:iCs/>
          <w:color w:val="000000"/>
          <w:shd w:val="clear" w:color="auto" w:fill="FFFFFF"/>
        </w:rPr>
        <w:br/>
      </w:r>
      <w:r>
        <w:rPr>
          <w:rStyle w:val="a3"/>
          <w:color w:val="000000"/>
          <w:shd w:val="clear" w:color="auto" w:fill="FFFFFF"/>
        </w:rPr>
        <w:t>E–mail</w:t>
      </w:r>
      <w:r>
        <w:rPr>
          <w:rStyle w:val="a3"/>
          <w:i w:val="0"/>
          <w:color w:val="000000"/>
          <w:shd w:val="clear" w:color="auto" w:fill="FFFFFF"/>
        </w:rPr>
        <w:t xml:space="preserve">: </w:t>
      </w:r>
      <w:r>
        <w:rPr>
          <w:rStyle w:val="a3"/>
          <w:color w:val="000000"/>
          <w:shd w:val="clear" w:color="auto" w:fill="FFFFFF"/>
          <w:lang w:val="en-US"/>
        </w:rPr>
        <w:t>kutlusurin</w:t>
      </w:r>
      <w:r w:rsidRPr="001C254A">
        <w:rPr>
          <w:rStyle w:val="a3"/>
          <w:color w:val="000000"/>
          <w:shd w:val="clear" w:color="auto" w:fill="FFFFFF"/>
        </w:rPr>
        <w:t>.</w:t>
      </w:r>
      <w:r>
        <w:rPr>
          <w:rStyle w:val="a3"/>
          <w:color w:val="000000"/>
          <w:shd w:val="clear" w:color="auto" w:fill="FFFFFF"/>
          <w:lang w:val="en-US"/>
        </w:rPr>
        <w:t>in</w:t>
      </w:r>
      <w:r w:rsidRPr="001C254A">
        <w:rPr>
          <w:rStyle w:val="a3"/>
          <w:color w:val="000000"/>
          <w:shd w:val="clear" w:color="auto" w:fill="FFFFFF"/>
        </w:rPr>
        <w:t>20@</w:t>
      </w:r>
      <w:r>
        <w:rPr>
          <w:rStyle w:val="a3"/>
          <w:color w:val="000000"/>
          <w:shd w:val="clear" w:color="auto" w:fill="FFFFFF"/>
          <w:lang w:val="en-US"/>
        </w:rPr>
        <w:t>physics</w:t>
      </w:r>
      <w:r w:rsidRPr="001C254A">
        <w:rPr>
          <w:rStyle w:val="a3"/>
          <w:color w:val="000000"/>
          <w:shd w:val="clear" w:color="auto" w:fill="FFFFFF"/>
        </w:rPr>
        <w:t>.</w:t>
      </w:r>
      <w:r>
        <w:rPr>
          <w:rStyle w:val="a3"/>
          <w:color w:val="000000"/>
          <w:shd w:val="clear" w:color="auto" w:fill="FFFFFF"/>
          <w:lang w:val="en-US"/>
        </w:rPr>
        <w:t>msu</w:t>
      </w:r>
      <w:r>
        <w:rPr>
          <w:i/>
          <w:shd w:val="clear" w:color="auto" w:fill="FFFFFF"/>
        </w:rPr>
        <w:t>.ru</w:t>
      </w:r>
    </w:p>
    <w:p w:rsidR="00321DBE" w:rsidRDefault="00321DBE">
      <w:pPr>
        <w:ind w:left="0" w:right="0" w:firstLine="397"/>
        <w:jc w:val="both"/>
      </w:pPr>
      <w:r>
        <w:rPr>
          <w:iCs/>
        </w:rPr>
        <w:t xml:space="preserve">Полупроводники типа AIIIBV, такие как InP, GaAs, InSb и другие, являются ключевыми материалами для современных технологий, включая высокочастотные интегральные схемы, гетероструктуры и квантовые точки. Использование ионного пучка является важным инструментом для создания, модификации и анализа таких структур. Источники ионов висмута демонстрируют выдающиеся результаты в различных приложениях, таких как имплантация одиночных ионов, изготовление наноматериалов. Особенностью ионов висмута является их высокая атомная масса, обеспечивающая высокую эффективность обработки поверхности и минимальное повреждение приповерхностных слоев. Наиболее важной характеристикой процесса взаимодействия ионов с поверхностью является коэффициент распыления </w:t>
      </w:r>
      <w:r>
        <w:rPr>
          <w:i/>
          <w:iCs/>
        </w:rPr>
        <w:t>Y</w:t>
      </w:r>
      <w:r>
        <w:rPr>
          <w:iCs/>
        </w:rPr>
        <w:t xml:space="preserve">. Существующие эмпирические формулы для </w:t>
      </w:r>
      <w:r>
        <w:rPr>
          <w:i/>
          <w:iCs/>
        </w:rPr>
        <w:t>Y</w:t>
      </w:r>
      <w:r>
        <w:rPr>
          <w:iCs/>
        </w:rPr>
        <w:t xml:space="preserve">, предсказывающие значения коэффициента, зависят от параметров, индивидуальных для всех ионов и типов мишеней. Общие формулы для </w:t>
      </w:r>
      <w:bookmarkStart w:id="0" w:name="_GoBack"/>
      <w:r>
        <w:rPr>
          <w:iCs/>
        </w:rPr>
        <w:t xml:space="preserve">вычисления этих параметров для различных ионов предложил Seah [1], однако в их </w:t>
      </w:r>
      <w:bookmarkEnd w:id="0"/>
      <w:r>
        <w:rPr>
          <w:iCs/>
        </w:rPr>
        <w:t xml:space="preserve">вычислении использовались результаты экспериментов, в которых мишени облучались только ионами благородных газов. Еще одной сложностью являются многокомпонентные мишени, при облучении которых происходят процессы селективного распыления и сегрегации. </w:t>
      </w:r>
    </w:p>
    <w:p w:rsidR="00321DBE" w:rsidRDefault="00321DBE">
      <w:pPr>
        <w:ind w:left="0" w:right="0" w:firstLine="397"/>
        <w:jc w:val="both"/>
      </w:pPr>
      <w:r>
        <w:rPr>
          <w:iCs/>
        </w:rPr>
        <w:t>Целью данной работы является вычисление коэффициентов распыления полупроводников типа AIIIBV, золотой и кремниевой мишеней, облученных ионным пучком висмута, моделирование процесса методом Монте-Карло в программных пакетах TRIM и TRIDYN и сравнение с экспериментальными значениями. Сделаны выводы о применимости существующих подходов к расчету коэффициентов распыления к случаю бомбардировки многокомпонентных материалов тяжелыми ионами.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320"/>
      </w:tblGrid>
      <w:tr w:rsidR="00321DBE">
        <w:trPr>
          <w:trHeight w:val="4020"/>
          <w:jc w:val="center"/>
        </w:trPr>
        <w:tc>
          <w:tcPr>
            <w:tcW w:w="10320" w:type="dxa"/>
            <w:shd w:val="clear" w:color="auto" w:fill="auto"/>
            <w:vAlign w:val="center"/>
          </w:tcPr>
          <w:p w:rsidR="00321DBE" w:rsidRDefault="00AF1FD3">
            <w:pPr>
              <w:snapToGrid w:val="0"/>
              <w:jc w:val="center"/>
              <w:rPr>
                <w:lang w:val="ru-RU" w:eastAsia="ru-RU"/>
              </w:rPr>
            </w:pPr>
            <w:r>
              <w:rPr>
                <w:noProof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29845</wp:posOffset>
                  </wp:positionV>
                  <wp:extent cx="4765675" cy="2611755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" t="-8" r="-3" b="-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5675" cy="2611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1DBE" w:rsidRDefault="00321DBE">
            <w:pPr>
              <w:snapToGrid w:val="0"/>
              <w:jc w:val="center"/>
              <w:rPr>
                <w:lang w:val="ru-RU" w:eastAsia="ru-RU"/>
              </w:rPr>
            </w:pPr>
          </w:p>
          <w:p w:rsidR="00321DBE" w:rsidRDefault="00321DBE">
            <w:pPr>
              <w:snapToGrid w:val="0"/>
              <w:jc w:val="center"/>
              <w:rPr>
                <w:lang w:val="ru-RU" w:eastAsia="ru-RU"/>
              </w:rPr>
            </w:pPr>
          </w:p>
          <w:p w:rsidR="00321DBE" w:rsidRDefault="00321DBE">
            <w:pPr>
              <w:snapToGrid w:val="0"/>
              <w:jc w:val="center"/>
              <w:rPr>
                <w:lang w:val="ru-RU" w:eastAsia="ru-RU"/>
              </w:rPr>
            </w:pPr>
          </w:p>
          <w:p w:rsidR="00321DBE" w:rsidRDefault="00321DBE">
            <w:pPr>
              <w:snapToGrid w:val="0"/>
              <w:jc w:val="center"/>
              <w:rPr>
                <w:lang w:val="ru-RU" w:eastAsia="ru-RU"/>
              </w:rPr>
            </w:pPr>
          </w:p>
          <w:p w:rsidR="00321DBE" w:rsidRDefault="00321DBE">
            <w:pPr>
              <w:snapToGrid w:val="0"/>
              <w:jc w:val="center"/>
              <w:rPr>
                <w:lang w:val="ru-RU" w:eastAsia="ru-RU"/>
              </w:rPr>
            </w:pPr>
          </w:p>
          <w:p w:rsidR="00321DBE" w:rsidRDefault="00321DBE">
            <w:pPr>
              <w:snapToGrid w:val="0"/>
              <w:jc w:val="center"/>
              <w:rPr>
                <w:lang w:val="ru-RU" w:eastAsia="ru-RU"/>
              </w:rPr>
            </w:pPr>
          </w:p>
          <w:p w:rsidR="00321DBE" w:rsidRDefault="00321DBE">
            <w:pPr>
              <w:snapToGrid w:val="0"/>
              <w:jc w:val="center"/>
              <w:rPr>
                <w:lang w:val="ru-RU" w:eastAsia="ru-RU"/>
              </w:rPr>
            </w:pPr>
          </w:p>
          <w:p w:rsidR="00321DBE" w:rsidRDefault="00321DBE">
            <w:pPr>
              <w:snapToGrid w:val="0"/>
              <w:jc w:val="center"/>
              <w:rPr>
                <w:lang w:val="ru-RU" w:eastAsia="ru-RU"/>
              </w:rPr>
            </w:pPr>
          </w:p>
          <w:p w:rsidR="00321DBE" w:rsidRDefault="00321DBE">
            <w:pPr>
              <w:snapToGrid w:val="0"/>
              <w:jc w:val="center"/>
              <w:rPr>
                <w:lang w:val="ru-RU" w:eastAsia="ru-RU"/>
              </w:rPr>
            </w:pPr>
          </w:p>
          <w:p w:rsidR="00321DBE" w:rsidRDefault="00321DBE">
            <w:pPr>
              <w:snapToGrid w:val="0"/>
              <w:jc w:val="center"/>
              <w:rPr>
                <w:lang w:val="ru-RU" w:eastAsia="ru-RU"/>
              </w:rPr>
            </w:pPr>
          </w:p>
          <w:p w:rsidR="00321DBE" w:rsidRDefault="00321DBE">
            <w:pPr>
              <w:snapToGrid w:val="0"/>
              <w:jc w:val="center"/>
              <w:rPr>
                <w:lang w:val="ru-RU" w:eastAsia="ru-RU"/>
              </w:rPr>
            </w:pPr>
          </w:p>
          <w:p w:rsidR="00321DBE" w:rsidRDefault="00321DBE">
            <w:pPr>
              <w:snapToGrid w:val="0"/>
              <w:jc w:val="center"/>
              <w:rPr>
                <w:lang w:val="ru-RU" w:eastAsia="ru-RU"/>
              </w:rPr>
            </w:pPr>
          </w:p>
          <w:p w:rsidR="00321DBE" w:rsidRDefault="00321DBE">
            <w:pPr>
              <w:snapToGrid w:val="0"/>
              <w:jc w:val="center"/>
              <w:rPr>
                <w:lang w:val="ru-RU" w:eastAsia="ru-RU"/>
              </w:rPr>
            </w:pPr>
          </w:p>
          <w:p w:rsidR="00321DBE" w:rsidRDefault="00321DBE">
            <w:pPr>
              <w:snapToGrid w:val="0"/>
              <w:jc w:val="center"/>
              <w:rPr>
                <w:lang w:val="ru-RU" w:eastAsia="ru-RU"/>
              </w:rPr>
            </w:pPr>
          </w:p>
        </w:tc>
      </w:tr>
      <w:tr w:rsidR="00321DBE">
        <w:trPr>
          <w:trHeight w:val="392"/>
          <w:jc w:val="center"/>
        </w:trPr>
        <w:tc>
          <w:tcPr>
            <w:tcW w:w="10320" w:type="dxa"/>
            <w:shd w:val="clear" w:color="auto" w:fill="auto"/>
            <w:vAlign w:val="center"/>
          </w:tcPr>
          <w:p w:rsidR="00321DBE" w:rsidRDefault="00321DBE">
            <w:pPr>
              <w:spacing w:line="360" w:lineRule="auto"/>
              <w:ind w:left="0" w:right="0" w:firstLine="426"/>
              <w:jc w:val="center"/>
            </w:pPr>
            <w:r>
              <w:rPr>
                <w:b/>
                <w:i/>
                <w:iCs/>
                <w:sz w:val="22"/>
                <w:szCs w:val="22"/>
              </w:rPr>
              <w:t>Рис. 1.</w:t>
            </w:r>
            <w:r>
              <w:rPr>
                <w:i/>
                <w:iCs/>
                <w:sz w:val="22"/>
                <w:szCs w:val="22"/>
              </w:rPr>
              <w:t xml:space="preserve"> Результаты расчетов коэффициентов распыления. </w:t>
            </w:r>
          </w:p>
        </w:tc>
      </w:tr>
    </w:tbl>
    <w:p w:rsidR="00321DBE" w:rsidRDefault="00321DBE">
      <w:pPr>
        <w:spacing w:line="360" w:lineRule="auto"/>
        <w:ind w:left="0" w:right="0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Литература</w:t>
      </w:r>
    </w:p>
    <w:p w:rsidR="00321DBE" w:rsidRPr="001C254A" w:rsidRDefault="001C254A" w:rsidP="00BE07F9">
      <w:pPr>
        <w:numPr>
          <w:ilvl w:val="0"/>
          <w:numId w:val="2"/>
        </w:numPr>
        <w:spacing w:line="360" w:lineRule="auto"/>
        <w:ind w:right="0"/>
        <w:rPr>
          <w:lang w:val="en-US"/>
        </w:rPr>
      </w:pPr>
      <w:r>
        <w:rPr>
          <w:lang w:val="en-US"/>
        </w:rPr>
        <w:t xml:space="preserve">M.P. Seah. Nucl.Instrum.Methods B </w:t>
      </w:r>
      <w:r w:rsidRPr="001C254A">
        <w:rPr>
          <w:b/>
          <w:lang w:val="en-US"/>
        </w:rPr>
        <w:t>229</w:t>
      </w:r>
      <w:r>
        <w:rPr>
          <w:lang w:val="en-US"/>
        </w:rPr>
        <w:t xml:space="preserve"> (2005) 348-358</w:t>
      </w:r>
    </w:p>
    <w:sectPr w:rsidR="00321DBE" w:rsidRPr="001C254A">
      <w:footerReference w:type="default" r:id="rId8"/>
      <w:footerReference w:type="first" r:id="rId9"/>
      <w:pgSz w:w="11906" w:h="16838"/>
      <w:pgMar w:top="1134" w:right="1361" w:bottom="1797" w:left="1361" w:header="720" w:footer="1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7BC" w:rsidRDefault="000A37BC">
      <w:r>
        <w:separator/>
      </w:r>
    </w:p>
  </w:endnote>
  <w:endnote w:type="continuationSeparator" w:id="0">
    <w:p w:rsidR="000A37BC" w:rsidRDefault="000A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DBE" w:rsidRDefault="00321DBE">
    <w:pPr>
      <w:pStyle w:val="af0"/>
      <w:ind w:left="0"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DBE" w:rsidRDefault="00321D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7BC" w:rsidRDefault="000A37BC">
      <w:r>
        <w:separator/>
      </w:r>
    </w:p>
  </w:footnote>
  <w:footnote w:type="continuationSeparator" w:id="0">
    <w:p w:rsidR="000A37BC" w:rsidRDefault="000A3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hint="default"/>
        <w:i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4A"/>
    <w:rsid w:val="000A37BC"/>
    <w:rsid w:val="001C254A"/>
    <w:rsid w:val="00321DBE"/>
    <w:rsid w:val="00AF1FD3"/>
    <w:rsid w:val="00BE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10B90B"/>
  <w15:chartTrackingRefBased/>
  <w15:docId w15:val="{8E387625-226C-49DE-9A78-CF111FD0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ind w:left="850" w:right="57"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pageBreakBefore/>
      <w:numPr>
        <w:ilvl w:val="1"/>
        <w:numId w:val="1"/>
      </w:numPr>
      <w:spacing w:after="120" w:line="360" w:lineRule="auto"/>
      <w:ind w:right="0"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hint="default"/>
      <w:i w:val="0"/>
    </w:rPr>
  </w:style>
  <w:style w:type="character" w:customStyle="1" w:styleId="WW8Num1z0">
    <w:name w:val="WW8Num1z0"/>
    <w:rPr>
      <w:rFonts w:hint="default"/>
      <w:i w:val="0"/>
    </w:rPr>
  </w:style>
  <w:style w:type="character" w:customStyle="1" w:styleId="WW8Num3z0">
    <w:name w:val="WW8Num3z0"/>
    <w:rPr>
      <w:rFonts w:hint="default"/>
    </w:rPr>
  </w:style>
  <w:style w:type="character" w:customStyle="1" w:styleId="WW8Num5z0">
    <w:name w:val="WW8Num5z0"/>
    <w:rPr>
      <w:rFonts w:hint="default"/>
      <w:b w:val="0"/>
      <w:color w:val="000000"/>
    </w:rPr>
  </w:style>
  <w:style w:type="character" w:customStyle="1" w:styleId="1">
    <w:name w:val="Основной шрифт абзаца1"/>
  </w:style>
  <w:style w:type="character" w:styleId="a3">
    <w:name w:val="Emphasis"/>
    <w:qFormat/>
    <w:rPr>
      <w:i/>
      <w:iCs/>
    </w:rPr>
  </w:style>
  <w:style w:type="character" w:customStyle="1" w:styleId="apple-converted-space">
    <w:name w:val="apple-converted-space"/>
    <w:basedOn w:val="1"/>
  </w:style>
  <w:style w:type="character" w:styleId="a4">
    <w:name w:val="Hyperlink"/>
    <w:rPr>
      <w:color w:val="0000FF"/>
      <w:u w:val="single"/>
    </w:rPr>
  </w:style>
  <w:style w:type="character" w:customStyle="1" w:styleId="a5">
    <w:name w:val="Без интервала Знак"/>
    <w:rPr>
      <w:rFonts w:ascii="Calibri" w:hAnsi="Calibri" w:cs="Calibri"/>
      <w:sz w:val="22"/>
      <w:szCs w:val="22"/>
      <w:lang w:val="ru-RU" w:bidi="ar-SA"/>
    </w:rPr>
  </w:style>
  <w:style w:type="character" w:customStyle="1" w:styleId="20">
    <w:name w:val="Заголовок 2 Знак"/>
    <w:rPr>
      <w:b/>
      <w:bCs/>
      <w:iCs/>
      <w:sz w:val="28"/>
      <w:szCs w:val="28"/>
      <w:lang w:val="ru-RU" w:bidi="ar-SA"/>
    </w:rPr>
  </w:style>
  <w:style w:type="character" w:styleId="a6">
    <w:name w:val="page number"/>
    <w:basedOn w:val="1"/>
  </w:style>
  <w:style w:type="character" w:styleId="a7">
    <w:name w:val="Placeholder Text"/>
    <w:rPr>
      <w:color w:val="808080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rPr>
      <w:sz w:val="24"/>
      <w:szCs w:val="24"/>
    </w:rPr>
  </w:style>
  <w:style w:type="paragraph" w:customStyle="1" w:styleId="10">
    <w:name w:val="Заголовок1"/>
    <w:basedOn w:val="a"/>
    <w:next w:val="aa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ohit Devanagari"/>
    </w:rPr>
  </w:style>
  <w:style w:type="paragraph" w:styleId="ad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e">
    <w:name w:val="Normal (Web)"/>
    <w:basedOn w:val="a"/>
    <w:pPr>
      <w:spacing w:before="280" w:after="280"/>
    </w:pPr>
  </w:style>
  <w:style w:type="paragraph" w:customStyle="1" w:styleId="af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footer"/>
    <w:basedOn w:val="a"/>
  </w:style>
  <w:style w:type="paragraph" w:styleId="af1">
    <w:name w:val="List Paragraph"/>
    <w:basedOn w:val="a"/>
    <w:qFormat/>
    <w:pPr>
      <w:ind w:left="720" w:right="0"/>
      <w:contextualSpacing/>
    </w:pPr>
  </w:style>
  <w:style w:type="paragraph" w:styleId="af2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customStyle="1" w:styleId="af4">
    <w:name w:val="Содержимое таблицы"/>
    <w:basedOn w:val="a"/>
    <w:pPr>
      <w:widowControl w:val="0"/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акустического поля мощных фазированных решеток для неинвазивной ультразвуковой хирургии</vt:lpstr>
    </vt:vector>
  </TitlesOfParts>
  <Company>Tinkoff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Yaroslav Medvedev</cp:lastModifiedBy>
  <cp:revision>2</cp:revision>
  <cp:lastPrinted>1601-01-01T00:00:00Z</cp:lastPrinted>
  <dcterms:created xsi:type="dcterms:W3CDTF">2024-02-28T19:17:00Z</dcterms:created>
  <dcterms:modified xsi:type="dcterms:W3CDTF">2024-02-28T19:17:00Z</dcterms:modified>
</cp:coreProperties>
</file>