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839F" w14:textId="753226DE" w:rsidR="000B18A2" w:rsidRPr="00B91845" w:rsidRDefault="00B91845" w:rsidP="00B91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845">
        <w:rPr>
          <w:rFonts w:ascii="Times New Roman" w:hAnsi="Times New Roman" w:cs="Times New Roman"/>
          <w:b/>
          <w:bCs/>
          <w:sz w:val="24"/>
          <w:szCs w:val="24"/>
        </w:rPr>
        <w:t xml:space="preserve">Гомер как источник образа идеального правителя (на материале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91845">
        <w:rPr>
          <w:rFonts w:ascii="Times New Roman" w:hAnsi="Times New Roman" w:cs="Times New Roman"/>
          <w:b/>
          <w:bCs/>
          <w:sz w:val="24"/>
          <w:szCs w:val="24"/>
        </w:rPr>
        <w:t>ервой речи Диона Хризостома)</w:t>
      </w:r>
    </w:p>
    <w:p w14:paraId="5EEFA3B2" w14:textId="7A1313BD" w:rsidR="00B91845" w:rsidRDefault="00B91845" w:rsidP="00B91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Гумеров Петр Павлович</w:t>
      </w:r>
    </w:p>
    <w:p w14:paraId="36D09FDC" w14:textId="0CF4BC19" w:rsidR="00B91845" w:rsidRDefault="00B91845" w:rsidP="00B91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Московского Государственного Университета имени М.В. Ломоносова, Москва, Россия</w:t>
      </w:r>
    </w:p>
    <w:p w14:paraId="0228EC89" w14:textId="20018591" w:rsidR="00B91845" w:rsidRDefault="00B91845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предполагается рассмотреть, как Дион Хризостом представляет идеального правителя и в какой степени он опирается на Гомера. В предлагаемом изложении учитывается мнение исследователя и издателя Диона Хризостома Ханса фон Арнима без интенции полемики с ним, а исключительно для сопоставления.</w:t>
      </w:r>
    </w:p>
    <w:p w14:paraId="6A404737" w14:textId="2DBA7E03" w:rsidR="00A15F36" w:rsidRPr="00042301" w:rsidRDefault="00B91845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первая речь Диона Хриз</w:t>
      </w:r>
      <w:r w:rsidR="0004230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стома, «О царской власти» обращена к императору Траяну. Таким образом, ее полит</w:t>
      </w:r>
      <w:r w:rsidR="00A15F36">
        <w:rPr>
          <w:rFonts w:ascii="Times New Roman" w:hAnsi="Times New Roman" w:cs="Times New Roman"/>
          <w:sz w:val="24"/>
          <w:szCs w:val="24"/>
        </w:rPr>
        <w:t>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F36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484FA7">
        <w:rPr>
          <w:rFonts w:ascii="Times New Roman" w:hAnsi="Times New Roman" w:cs="Times New Roman"/>
          <w:sz w:val="24"/>
          <w:szCs w:val="24"/>
        </w:rPr>
        <w:t>достаточно ясным</w:t>
      </w:r>
      <w:r w:rsidR="00A15F36">
        <w:rPr>
          <w:rFonts w:ascii="Times New Roman" w:hAnsi="Times New Roman" w:cs="Times New Roman"/>
          <w:sz w:val="24"/>
          <w:szCs w:val="24"/>
        </w:rPr>
        <w:t xml:space="preserve">, и применительно к данной речи его можно связать с двумя факторами. Во-первых, приведем наблюдение С.С. Аверинцева, который отмечает, что для Диона Хризостома важна политика в принципе </w:t>
      </w:r>
      <w:r w:rsidR="00A15F36" w:rsidRPr="00A15F36">
        <w:rPr>
          <w:rFonts w:ascii="Times New Roman" w:hAnsi="Times New Roman" w:cs="Times New Roman"/>
          <w:sz w:val="24"/>
          <w:szCs w:val="24"/>
        </w:rPr>
        <w:t>[</w:t>
      </w:r>
      <w:r w:rsidR="00A15F36">
        <w:rPr>
          <w:rFonts w:ascii="Times New Roman" w:hAnsi="Times New Roman" w:cs="Times New Roman"/>
          <w:sz w:val="24"/>
          <w:szCs w:val="24"/>
        </w:rPr>
        <w:t>Аверинцев 1973: 109</w:t>
      </w:r>
      <w:r w:rsidR="00A15F36" w:rsidRPr="00A15F36">
        <w:rPr>
          <w:rFonts w:ascii="Times New Roman" w:hAnsi="Times New Roman" w:cs="Times New Roman"/>
          <w:sz w:val="24"/>
          <w:szCs w:val="24"/>
        </w:rPr>
        <w:t>]</w:t>
      </w:r>
      <w:r w:rsidR="00A15F36">
        <w:rPr>
          <w:rFonts w:ascii="Times New Roman" w:hAnsi="Times New Roman" w:cs="Times New Roman"/>
          <w:sz w:val="24"/>
          <w:szCs w:val="24"/>
        </w:rPr>
        <w:t xml:space="preserve">: он осознает себя как мудрец, долг которого – рассказывать гражданам о правильном устройстве государства. Во-вторых, </w:t>
      </w:r>
      <w:r w:rsidR="00042301">
        <w:rPr>
          <w:rFonts w:ascii="Times New Roman" w:hAnsi="Times New Roman" w:cs="Times New Roman"/>
          <w:sz w:val="24"/>
          <w:szCs w:val="24"/>
        </w:rPr>
        <w:t xml:space="preserve">сделаем отсылку к </w:t>
      </w:r>
      <w:r w:rsidR="00A15F36">
        <w:rPr>
          <w:rFonts w:ascii="Times New Roman" w:hAnsi="Times New Roman" w:cs="Times New Roman"/>
          <w:sz w:val="24"/>
          <w:szCs w:val="24"/>
        </w:rPr>
        <w:t>фон Арним</w:t>
      </w:r>
      <w:r w:rsidR="00042301">
        <w:rPr>
          <w:rFonts w:ascii="Times New Roman" w:hAnsi="Times New Roman" w:cs="Times New Roman"/>
          <w:sz w:val="24"/>
          <w:szCs w:val="24"/>
        </w:rPr>
        <w:t>у</w:t>
      </w:r>
      <w:r w:rsidR="00A15F36">
        <w:rPr>
          <w:rFonts w:ascii="Times New Roman" w:hAnsi="Times New Roman" w:cs="Times New Roman"/>
          <w:sz w:val="24"/>
          <w:szCs w:val="24"/>
        </w:rPr>
        <w:t>, который описывает его роль как «посредническую» (</w:t>
      </w:r>
      <w:r w:rsidR="00A15F36" w:rsidRPr="00042301">
        <w:rPr>
          <w:rFonts w:ascii="Times New Roman" w:hAnsi="Times New Roman" w:cs="Times New Roman"/>
          <w:sz w:val="24"/>
          <w:szCs w:val="24"/>
        </w:rPr>
        <w:t>„</w:t>
      </w:r>
      <w:r w:rsidR="00A15F36">
        <w:rPr>
          <w:rFonts w:ascii="Times New Roman" w:hAnsi="Times New Roman" w:cs="Times New Roman"/>
          <w:sz w:val="24"/>
          <w:szCs w:val="24"/>
          <w:lang w:val="de-DE"/>
        </w:rPr>
        <w:t>Vermittelrolle</w:t>
      </w:r>
      <w:r w:rsidR="00A15F36" w:rsidRPr="00042301">
        <w:rPr>
          <w:rFonts w:ascii="Times New Roman" w:hAnsi="Times New Roman" w:cs="Times New Roman"/>
          <w:sz w:val="24"/>
          <w:szCs w:val="24"/>
        </w:rPr>
        <w:t xml:space="preserve">“) </w:t>
      </w:r>
      <w:r w:rsidR="00A15F36">
        <w:rPr>
          <w:rFonts w:ascii="Times New Roman" w:hAnsi="Times New Roman" w:cs="Times New Roman"/>
          <w:sz w:val="24"/>
          <w:szCs w:val="24"/>
        </w:rPr>
        <w:t>между гражданскими и имперскими органами власти</w:t>
      </w:r>
      <w:r w:rsidR="00A15F36" w:rsidRPr="00042301">
        <w:rPr>
          <w:rFonts w:ascii="Times New Roman" w:hAnsi="Times New Roman" w:cs="Times New Roman"/>
          <w:sz w:val="24"/>
          <w:szCs w:val="24"/>
        </w:rPr>
        <w:t xml:space="preserve"> [</w:t>
      </w:r>
      <w:r w:rsidR="00A15F36">
        <w:rPr>
          <w:rFonts w:ascii="Times New Roman" w:hAnsi="Times New Roman" w:cs="Times New Roman"/>
          <w:sz w:val="24"/>
          <w:szCs w:val="24"/>
          <w:lang w:val="de-DE"/>
        </w:rPr>
        <w:t>Arnim</w:t>
      </w:r>
      <w:r w:rsidR="00A15F36" w:rsidRPr="00042301">
        <w:rPr>
          <w:rFonts w:ascii="Times New Roman" w:hAnsi="Times New Roman" w:cs="Times New Roman"/>
          <w:sz w:val="24"/>
          <w:szCs w:val="24"/>
        </w:rPr>
        <w:t xml:space="preserve"> 1898: 323].</w:t>
      </w:r>
    </w:p>
    <w:p w14:paraId="7DF86034" w14:textId="6D82D0C4" w:rsidR="00526614" w:rsidRDefault="00A15F36" w:rsidP="00B91845">
      <w:pPr>
        <w:rPr>
          <w:rFonts w:ascii="Times New Roman" w:hAnsi="Times New Roman" w:cs="Times New Roman"/>
          <w:sz w:val="24"/>
          <w:szCs w:val="24"/>
        </w:rPr>
      </w:pPr>
      <w:r w:rsidRPr="00A15F36">
        <w:rPr>
          <w:rFonts w:ascii="Times New Roman" w:hAnsi="Times New Roman" w:cs="Times New Roman"/>
          <w:sz w:val="24"/>
          <w:szCs w:val="24"/>
        </w:rPr>
        <w:t>Предлагается также описать контекст, в</w:t>
      </w:r>
      <w:r>
        <w:rPr>
          <w:rFonts w:ascii="Times New Roman" w:hAnsi="Times New Roman" w:cs="Times New Roman"/>
          <w:sz w:val="24"/>
          <w:szCs w:val="24"/>
        </w:rPr>
        <w:t xml:space="preserve"> котором первая речь была произнесена</w:t>
      </w:r>
      <w:r w:rsidR="00526614">
        <w:rPr>
          <w:rFonts w:ascii="Times New Roman" w:hAnsi="Times New Roman" w:cs="Times New Roman"/>
          <w:sz w:val="24"/>
          <w:szCs w:val="24"/>
        </w:rPr>
        <w:t xml:space="preserve">. В 97 г. н.э. император Нерва требует, чтобы Дион явился в Рим, однако оратор не смог сделать этого из-за болезни. Осенью 97 г., как известно, Нерва назначает своим соправителем Траяна и отходит от дел. Соответственно, меняется и цель Диона: теперь ему нужно установить контакт с новым правителем и получить надежду на сотрудничество с Траяном. Примем и предлагаемую фон Арнимом датировку произнесения первой речи – 100 г. </w:t>
      </w:r>
      <w:r w:rsidR="00526614" w:rsidRPr="00A15F36">
        <w:rPr>
          <w:rFonts w:ascii="Times New Roman" w:hAnsi="Times New Roman" w:cs="Times New Roman"/>
          <w:sz w:val="24"/>
          <w:szCs w:val="24"/>
        </w:rPr>
        <w:t>[</w:t>
      </w:r>
      <w:r w:rsidR="00526614">
        <w:rPr>
          <w:rFonts w:ascii="Times New Roman" w:hAnsi="Times New Roman" w:cs="Times New Roman"/>
          <w:sz w:val="24"/>
          <w:szCs w:val="24"/>
          <w:lang w:val="en-US"/>
        </w:rPr>
        <w:t>Arnim</w:t>
      </w:r>
      <w:r w:rsidR="00526614" w:rsidRPr="00526614">
        <w:rPr>
          <w:rFonts w:ascii="Times New Roman" w:hAnsi="Times New Roman" w:cs="Times New Roman"/>
          <w:sz w:val="24"/>
          <w:szCs w:val="24"/>
        </w:rPr>
        <w:t xml:space="preserve"> 1898: 325</w:t>
      </w:r>
      <w:r w:rsidR="00526614" w:rsidRPr="00A15F36">
        <w:rPr>
          <w:rFonts w:ascii="Times New Roman" w:hAnsi="Times New Roman" w:cs="Times New Roman"/>
          <w:sz w:val="24"/>
          <w:szCs w:val="24"/>
        </w:rPr>
        <w:t>]</w:t>
      </w:r>
    </w:p>
    <w:p w14:paraId="5DEC4197" w14:textId="6E858C2F" w:rsidR="00526614" w:rsidRDefault="00526614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7450B">
        <w:rPr>
          <w:rFonts w:ascii="Times New Roman" w:hAnsi="Times New Roman" w:cs="Times New Roman"/>
          <w:sz w:val="24"/>
          <w:szCs w:val="24"/>
        </w:rPr>
        <w:t>говоря о</w:t>
      </w:r>
      <w:r>
        <w:rPr>
          <w:rFonts w:ascii="Times New Roman" w:hAnsi="Times New Roman" w:cs="Times New Roman"/>
          <w:sz w:val="24"/>
          <w:szCs w:val="24"/>
        </w:rPr>
        <w:t xml:space="preserve"> генезис</w:t>
      </w:r>
      <w:r w:rsidR="0027450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первой речи, следует учитывать политический контекст. Также нельзя не принимать во внимание и общий интерес Диона Хризостома к проблеме царской власти. Можно предположить, что конъюнктурная составляющая была лишь удобным поводом для Диона выразить свои взгляды. </w:t>
      </w:r>
    </w:p>
    <w:p w14:paraId="2CD8FC92" w14:textId="2F7EC50F" w:rsidR="00526614" w:rsidRDefault="00526614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предлагается непосредственно анализ первой речи. Фон Арним предлагает </w:t>
      </w:r>
      <w:r w:rsidR="0004089C">
        <w:rPr>
          <w:rFonts w:ascii="Times New Roman" w:hAnsi="Times New Roman" w:cs="Times New Roman"/>
          <w:sz w:val="24"/>
          <w:szCs w:val="24"/>
        </w:rPr>
        <w:t xml:space="preserve">членить речь на четыре части </w:t>
      </w:r>
      <w:r w:rsidR="0004089C" w:rsidRPr="00A15F36">
        <w:rPr>
          <w:rFonts w:ascii="Times New Roman" w:hAnsi="Times New Roman" w:cs="Times New Roman"/>
          <w:sz w:val="24"/>
          <w:szCs w:val="24"/>
        </w:rPr>
        <w:t>[</w:t>
      </w:r>
      <w:r w:rsidR="0004089C">
        <w:rPr>
          <w:rFonts w:ascii="Times New Roman" w:hAnsi="Times New Roman" w:cs="Times New Roman"/>
          <w:sz w:val="24"/>
          <w:szCs w:val="24"/>
          <w:lang w:val="en-US"/>
        </w:rPr>
        <w:t>Arnim</w:t>
      </w:r>
      <w:r w:rsidR="0004089C" w:rsidRPr="00526614">
        <w:rPr>
          <w:rFonts w:ascii="Times New Roman" w:hAnsi="Times New Roman" w:cs="Times New Roman"/>
          <w:sz w:val="24"/>
          <w:szCs w:val="24"/>
        </w:rPr>
        <w:t xml:space="preserve"> 1898: 3</w:t>
      </w:r>
      <w:r w:rsidR="0004089C">
        <w:rPr>
          <w:rFonts w:ascii="Times New Roman" w:hAnsi="Times New Roman" w:cs="Times New Roman"/>
          <w:sz w:val="24"/>
          <w:szCs w:val="24"/>
        </w:rPr>
        <w:t>30</w:t>
      </w:r>
      <w:r w:rsidR="0004089C" w:rsidRPr="00A15F36">
        <w:rPr>
          <w:rFonts w:ascii="Times New Roman" w:hAnsi="Times New Roman" w:cs="Times New Roman"/>
          <w:sz w:val="24"/>
          <w:szCs w:val="24"/>
        </w:rPr>
        <w:t>]</w:t>
      </w:r>
      <w:r w:rsidR="0004089C">
        <w:rPr>
          <w:rFonts w:ascii="Times New Roman" w:hAnsi="Times New Roman" w:cs="Times New Roman"/>
          <w:sz w:val="24"/>
          <w:szCs w:val="24"/>
        </w:rPr>
        <w:t>. Первая часть метафорически описывает отношения между оратором и царем на примере Александра Македонского и флейтиста Тимофея, который с помощью воинственной мелодии побуждает Александра броситься к оружию. Очевидно, что с помощью этого сопоставления Дион хочет выгодно представить себя перед новым императором, приписав себе способность воздействовать на власть имущи</w:t>
      </w:r>
      <w:r w:rsidR="0098524F">
        <w:rPr>
          <w:rFonts w:ascii="Times New Roman" w:hAnsi="Times New Roman" w:cs="Times New Roman"/>
          <w:sz w:val="24"/>
          <w:szCs w:val="24"/>
        </w:rPr>
        <w:t>х</w:t>
      </w:r>
      <w:r w:rsidR="000408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F82C2" w14:textId="12F1AA24" w:rsidR="0004089C" w:rsidRDefault="0004089C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части Дион обращается к Гомеру, приводя цитату из второй песни «Илиады», где описывается идеальный правитель. Третью часть фон Арним предлагает рассматривать как «философско-религиозное погружение» (</w:t>
      </w:r>
      <w:r w:rsidRPr="0004089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de-DE"/>
        </w:rPr>
        <w:t>philosophisch</w:t>
      </w:r>
      <w:r w:rsidRPr="000408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religi</w:t>
      </w:r>
      <w:r w:rsidRPr="0004089C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de-DE"/>
        </w:rPr>
        <w:t>se</w:t>
      </w:r>
      <w:r w:rsidRPr="0004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Vertiefung</w:t>
      </w:r>
      <w:r w:rsidRPr="0004089C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F3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Arnim</w:t>
      </w:r>
      <w:r w:rsidRPr="00526614">
        <w:rPr>
          <w:rFonts w:ascii="Times New Roman" w:hAnsi="Times New Roman" w:cs="Times New Roman"/>
          <w:sz w:val="24"/>
          <w:szCs w:val="24"/>
        </w:rPr>
        <w:t xml:space="preserve"> 1898: 3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15F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которое раскрывает образ правителя, созданный во второй части. </w:t>
      </w:r>
    </w:p>
    <w:p w14:paraId="152984BB" w14:textId="6FF1DD66" w:rsidR="0027450B" w:rsidRPr="00646588" w:rsidRDefault="0027450B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надо отметить, что исследователь не указывает, где конкретно заканчивается вторая и начинается третья часть. При делении можно опираться на явную смену риторического приема</w:t>
      </w:r>
      <w:r w:rsidR="00646588" w:rsidRPr="00646588">
        <w:rPr>
          <w:rFonts w:ascii="Times New Roman" w:hAnsi="Times New Roman" w:cs="Times New Roman"/>
          <w:sz w:val="24"/>
          <w:szCs w:val="24"/>
        </w:rPr>
        <w:t>,</w:t>
      </w:r>
      <w:r w:rsidR="00646588">
        <w:rPr>
          <w:rFonts w:ascii="Times New Roman" w:hAnsi="Times New Roman" w:cs="Times New Roman"/>
          <w:sz w:val="24"/>
          <w:szCs w:val="24"/>
        </w:rPr>
        <w:t xml:space="preserve"> а именно на частое использование риторических вопросов. </w:t>
      </w:r>
    </w:p>
    <w:p w14:paraId="6F2F42A0" w14:textId="0F3F52C9" w:rsidR="0027450B" w:rsidRDefault="0027450B" w:rsidP="00B9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Отметив эти стилистические особенности, нельзя не сказать, что тематически третья часть продолжает то, о чем говорится во второй, к тому же риторические вопросы Дион использует и во второй части тоже. Следовательно, границу можно установить лишь формально: в 33 главке Дион, суммируя все сказанное им до того, выводит свой образ идеального царя, а начиная с 34 главки поясняет и раскрывает его с помощью риторических вопросов. </w:t>
      </w:r>
      <w:r w:rsidR="005F25F9">
        <w:rPr>
          <w:rFonts w:ascii="Times New Roman" w:hAnsi="Times New Roman" w:cs="Times New Roman"/>
          <w:sz w:val="24"/>
          <w:szCs w:val="24"/>
        </w:rPr>
        <w:t>Однако</w:t>
      </w:r>
      <w:r w:rsidR="00002E58">
        <w:rPr>
          <w:rFonts w:ascii="Times New Roman" w:hAnsi="Times New Roman" w:cs="Times New Roman"/>
          <w:sz w:val="24"/>
          <w:szCs w:val="24"/>
        </w:rPr>
        <w:t xml:space="preserve"> нельзя не заметить очевидную ссылку на Гомера в конце третьей части (38 главка), где Дион приводит в качестве примера идеального царя Зевса. </w:t>
      </w:r>
    </w:p>
    <w:p w14:paraId="6BEA4673" w14:textId="4A5A92B2" w:rsidR="00F637E5" w:rsidRDefault="00002E58" w:rsidP="00F6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в четвертой части оратор усиливает тот образ идеального правителя, который он создал с помощью Гомера. Он приводит личное свидетельство: во время изгнания Дион встретил женщину, которая предрекла ему встречу с «могущественным человеком, управляющим многими странами и людьми</w:t>
      </w:r>
      <w:r w:rsidR="00F637E5">
        <w:rPr>
          <w:rFonts w:ascii="Times New Roman" w:hAnsi="Times New Roman" w:cs="Times New Roman"/>
          <w:sz w:val="24"/>
          <w:szCs w:val="24"/>
        </w:rPr>
        <w:t>» (</w:t>
      </w:r>
      <w:r w:rsidR="00F637E5" w:rsidRPr="00F637E5">
        <w:rPr>
          <w:rFonts w:ascii="Times New Roman" w:hAnsi="Times New Roman" w:cs="Times New Roman"/>
          <w:sz w:val="24"/>
          <w:szCs w:val="24"/>
        </w:rPr>
        <w:t>ἀνδρὶ καρτερῷ πλείστης ἄρχοντι χώρας καὶ ἀνθρώπων</w:t>
      </w:r>
      <w:r w:rsidR="00F637E5">
        <w:rPr>
          <w:rFonts w:ascii="Times New Roman" w:hAnsi="Times New Roman" w:cs="Times New Roman"/>
          <w:sz w:val="24"/>
          <w:szCs w:val="24"/>
        </w:rPr>
        <w:t>)</w:t>
      </w:r>
      <w:r w:rsidR="00161689">
        <w:rPr>
          <w:rFonts w:ascii="Times New Roman" w:hAnsi="Times New Roman" w:cs="Times New Roman"/>
          <w:sz w:val="24"/>
          <w:szCs w:val="24"/>
        </w:rPr>
        <w:t>. Затем Дион приводит рассказанную ей притчу о Геракле, который также представлен здесь как идеальный правител</w:t>
      </w:r>
      <w:r w:rsidR="000C6376">
        <w:rPr>
          <w:rFonts w:ascii="Times New Roman" w:hAnsi="Times New Roman" w:cs="Times New Roman"/>
          <w:sz w:val="24"/>
          <w:szCs w:val="24"/>
        </w:rPr>
        <w:t>ь</w:t>
      </w:r>
      <w:r w:rsidR="00161689">
        <w:rPr>
          <w:rFonts w:ascii="Times New Roman" w:hAnsi="Times New Roman" w:cs="Times New Roman"/>
          <w:sz w:val="24"/>
          <w:szCs w:val="24"/>
        </w:rPr>
        <w:t xml:space="preserve">. Следует отметить, что обращение к этому образу не случайно, поскольку он, в том числе и в кинизме, к которому был близок Дион, воспринимается как покровитель хороших царей. Наконец, заканчивается речь назиданием тому правителю, к которому оратор обращается, но который, при этом, в тексте ни разу не назван по имени. </w:t>
      </w:r>
    </w:p>
    <w:p w14:paraId="45449EC7" w14:textId="7956F0CF" w:rsidR="00161689" w:rsidRDefault="00161689" w:rsidP="00F6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Гомер в первой речи Диона Хризостома выступает основой его рассуждений, </w:t>
      </w:r>
      <w:r w:rsidR="001A2FDC">
        <w:rPr>
          <w:rFonts w:ascii="Times New Roman" w:hAnsi="Times New Roman" w:cs="Times New Roman"/>
          <w:sz w:val="24"/>
          <w:szCs w:val="24"/>
        </w:rPr>
        <w:t xml:space="preserve">на которую он опирается </w:t>
      </w:r>
      <w:r>
        <w:rPr>
          <w:rFonts w:ascii="Times New Roman" w:hAnsi="Times New Roman" w:cs="Times New Roman"/>
          <w:sz w:val="24"/>
          <w:szCs w:val="24"/>
        </w:rPr>
        <w:t xml:space="preserve">в описании идеального царя. </w:t>
      </w:r>
      <w:r w:rsidR="000C6376">
        <w:rPr>
          <w:rFonts w:ascii="Times New Roman" w:hAnsi="Times New Roman" w:cs="Times New Roman"/>
          <w:sz w:val="24"/>
          <w:szCs w:val="24"/>
        </w:rPr>
        <w:t>Во-первых, о</w:t>
      </w:r>
      <w:r>
        <w:rPr>
          <w:rFonts w:ascii="Times New Roman" w:hAnsi="Times New Roman" w:cs="Times New Roman"/>
          <w:sz w:val="24"/>
          <w:szCs w:val="24"/>
        </w:rPr>
        <w:t>ратор заимствует ключевую характеристику царя у Гомера, для которого идеальный царь – тот, который получил свою власть от Зевса («Зевс прозорливый скиптр даровал и законы»)</w:t>
      </w:r>
      <w:r w:rsidR="000C6376">
        <w:rPr>
          <w:rFonts w:ascii="Times New Roman" w:hAnsi="Times New Roman" w:cs="Times New Roman"/>
          <w:sz w:val="24"/>
          <w:szCs w:val="24"/>
        </w:rPr>
        <w:t xml:space="preserve"> и который забоится о людях. </w:t>
      </w:r>
    </w:p>
    <w:p w14:paraId="231184DB" w14:textId="78639B0B" w:rsidR="000C6376" w:rsidRDefault="000C6376" w:rsidP="00F6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Дион, вслед за Гомером, сравнивает идеального земного царя с идеальным небесным царем, то есть с Зевсом, а в качестве примера использует фигуру Миноса. Описание Зевса как идеального царя можно соотнести с гомеровской формулой «отец богов и людей», которую Дион, к слову, цитирует в 53 речи. </w:t>
      </w:r>
    </w:p>
    <w:p w14:paraId="51E20983" w14:textId="198BE235" w:rsidR="000C6376" w:rsidRDefault="000C6376" w:rsidP="00F63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итога можно сказать следующее. Речь «О царской власти» – это выражение взглядов Диона Хризостома на то, каким должен быть идеальный царь. Образ идеального царя </w:t>
      </w:r>
      <w:r w:rsidR="00042301">
        <w:rPr>
          <w:rFonts w:ascii="Times New Roman" w:hAnsi="Times New Roman" w:cs="Times New Roman"/>
          <w:sz w:val="24"/>
          <w:szCs w:val="24"/>
        </w:rPr>
        <w:t xml:space="preserve">строится </w:t>
      </w:r>
      <w:r>
        <w:rPr>
          <w:rFonts w:ascii="Times New Roman" w:hAnsi="Times New Roman" w:cs="Times New Roman"/>
          <w:sz w:val="24"/>
          <w:szCs w:val="24"/>
        </w:rPr>
        <w:t xml:space="preserve">на двух фигурах – Гомере и Геракле. Если Геракл представлен как мифологический образец такого правителя, то Гомер выступает как некий этический источник, отталкиваясь от которого, Дион строит свои рассуждения. </w:t>
      </w:r>
    </w:p>
    <w:p w14:paraId="581A2A2C" w14:textId="2FE6BBE3" w:rsidR="005013B6" w:rsidRPr="005013B6" w:rsidRDefault="005013B6" w:rsidP="005013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3B6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14:paraId="0837FB46" w14:textId="672033F7" w:rsidR="005013B6" w:rsidRPr="005312DF" w:rsidRDefault="005013B6" w:rsidP="005013B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33AF">
        <w:rPr>
          <w:rFonts w:ascii="Times New Roman" w:hAnsi="Times New Roman" w:cs="Times New Roman"/>
          <w:sz w:val="24"/>
          <w:szCs w:val="24"/>
          <w:lang w:val="en-US"/>
        </w:rPr>
        <w:t xml:space="preserve">Dio Chrysostom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an English translation in five volumes. </w:t>
      </w:r>
      <w:r w:rsidRPr="005312DF">
        <w:rPr>
          <w:rFonts w:ascii="Times New Roman" w:hAnsi="Times New Roman" w:cs="Times New Roman"/>
          <w:sz w:val="24"/>
          <w:szCs w:val="24"/>
          <w:lang w:val="en-US"/>
        </w:rPr>
        <w:t xml:space="preserve">Vol. I. </w:t>
      </w:r>
      <w:r>
        <w:rPr>
          <w:rFonts w:ascii="Times New Roman" w:hAnsi="Times New Roman" w:cs="Times New Roman"/>
          <w:sz w:val="24"/>
          <w:szCs w:val="24"/>
          <w:lang w:val="en-US"/>
        </w:rPr>
        <w:t>The Loeb classical library, e</w:t>
      </w:r>
      <w:r w:rsidRPr="005312DF">
        <w:rPr>
          <w:rFonts w:ascii="Times New Roman" w:hAnsi="Times New Roman" w:cs="Times New Roman"/>
          <w:sz w:val="24"/>
          <w:szCs w:val="24"/>
          <w:lang w:val="en-US"/>
        </w:rPr>
        <w:t xml:space="preserve">dited by </w:t>
      </w:r>
      <w:r>
        <w:rPr>
          <w:rFonts w:ascii="Times New Roman" w:hAnsi="Times New Roman" w:cs="Times New Roman"/>
          <w:sz w:val="24"/>
          <w:szCs w:val="24"/>
          <w:lang w:val="en-US"/>
        </w:rPr>
        <w:t>T.E. Page, London, Cambridge, 1949</w:t>
      </w:r>
    </w:p>
    <w:p w14:paraId="3E2F2260" w14:textId="3DB7F893" w:rsidR="005F25F9" w:rsidRPr="00042301" w:rsidRDefault="005F25F9" w:rsidP="005F25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F25F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04230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40E72193" w14:textId="051AA41F" w:rsidR="005F25F9" w:rsidRPr="00F8192D" w:rsidRDefault="005F25F9" w:rsidP="005F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301">
        <w:rPr>
          <w:rFonts w:ascii="Times New Roman" w:hAnsi="Times New Roman" w:cs="Times New Roman"/>
          <w:sz w:val="24"/>
          <w:szCs w:val="24"/>
          <w:lang w:val="de-DE"/>
        </w:rPr>
        <w:t xml:space="preserve">Arnim H. von. </w:t>
      </w:r>
      <w:r>
        <w:rPr>
          <w:rFonts w:ascii="Times New Roman" w:hAnsi="Times New Roman" w:cs="Times New Roman"/>
          <w:sz w:val="24"/>
          <w:szCs w:val="24"/>
          <w:lang w:val="de-DE"/>
        </w:rPr>
        <w:t>Leben und Werke des Dio von Prusa. Berlin</w:t>
      </w:r>
      <w:r w:rsidRPr="00F8192D">
        <w:rPr>
          <w:rFonts w:ascii="Times New Roman" w:hAnsi="Times New Roman" w:cs="Times New Roman"/>
          <w:sz w:val="24"/>
          <w:szCs w:val="24"/>
        </w:rPr>
        <w:t>, 1898</w:t>
      </w:r>
    </w:p>
    <w:p w14:paraId="60650244" w14:textId="762FC1BC" w:rsidR="005F25F9" w:rsidRPr="005F25F9" w:rsidRDefault="005F25F9" w:rsidP="005F2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Аверинцев С.С. Плутарх и античная биография. М., 1973</w:t>
      </w:r>
    </w:p>
    <w:p w14:paraId="48F80681" w14:textId="77777777" w:rsidR="005F25F9" w:rsidRPr="005F25F9" w:rsidRDefault="005F25F9" w:rsidP="00F637E5">
      <w:pPr>
        <w:rPr>
          <w:rFonts w:ascii="Times New Roman" w:hAnsi="Times New Roman" w:cs="Times New Roman"/>
          <w:sz w:val="24"/>
          <w:szCs w:val="24"/>
        </w:rPr>
      </w:pPr>
    </w:p>
    <w:p w14:paraId="7EEA9F4F" w14:textId="7284D8EC" w:rsidR="00B91845" w:rsidRPr="005F25F9" w:rsidRDefault="00B91845" w:rsidP="00B91845">
      <w:pPr>
        <w:rPr>
          <w:rFonts w:ascii="Times New Roman" w:hAnsi="Times New Roman" w:cs="Times New Roman"/>
          <w:sz w:val="24"/>
          <w:szCs w:val="24"/>
        </w:rPr>
      </w:pPr>
    </w:p>
    <w:sectPr w:rsidR="00B91845" w:rsidRPr="005F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45"/>
    <w:rsid w:val="00002E58"/>
    <w:rsid w:val="0004089C"/>
    <w:rsid w:val="00042301"/>
    <w:rsid w:val="000B18A2"/>
    <w:rsid w:val="000C6376"/>
    <w:rsid w:val="00161689"/>
    <w:rsid w:val="00191295"/>
    <w:rsid w:val="001A2FDC"/>
    <w:rsid w:val="0027450B"/>
    <w:rsid w:val="0027729C"/>
    <w:rsid w:val="003733AF"/>
    <w:rsid w:val="003F52A8"/>
    <w:rsid w:val="00451C42"/>
    <w:rsid w:val="00484FA7"/>
    <w:rsid w:val="005013B6"/>
    <w:rsid w:val="00526614"/>
    <w:rsid w:val="005312DF"/>
    <w:rsid w:val="005F25F9"/>
    <w:rsid w:val="00646588"/>
    <w:rsid w:val="00746879"/>
    <w:rsid w:val="0078648D"/>
    <w:rsid w:val="0083761F"/>
    <w:rsid w:val="00950D9B"/>
    <w:rsid w:val="0098524F"/>
    <w:rsid w:val="00A15F36"/>
    <w:rsid w:val="00AB4C08"/>
    <w:rsid w:val="00B91845"/>
    <w:rsid w:val="00E35D00"/>
    <w:rsid w:val="00F637E5"/>
    <w:rsid w:val="00F8192D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C34C"/>
  <w15:chartTrackingRefBased/>
  <w15:docId w15:val="{5CFCFB41-DB1A-4027-95AE-BB1E0B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791</Words>
  <Characters>4897</Characters>
  <Application>Microsoft Office Word</Application>
  <DocSecurity>0</DocSecurity>
  <Lines>81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Гумеров</dc:creator>
  <cp:keywords/>
  <dc:description/>
  <cp:lastModifiedBy>Петр Гумеров</cp:lastModifiedBy>
  <cp:revision>20</cp:revision>
  <dcterms:created xsi:type="dcterms:W3CDTF">2024-02-16T13:10:00Z</dcterms:created>
  <dcterms:modified xsi:type="dcterms:W3CDTF">2024-02-16T19:29:00Z</dcterms:modified>
</cp:coreProperties>
</file>