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90" w:rsidRDefault="00544B7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Дифференцированное маркирование объекта в повести Э. Хемингуэя «Старик и море» на </w:t>
      </w:r>
      <w:proofErr w:type="spellStart"/>
      <w:r>
        <w:rPr>
          <w:rFonts w:ascii="Times New Roman" w:eastAsia="Times New Roman" w:hAnsi="Times New Roman" w:cs="Times New Roman"/>
          <w:b/>
          <w:sz w:val="24"/>
          <w:szCs w:val="24"/>
        </w:rPr>
        <w:t>иронском</w:t>
      </w:r>
      <w:proofErr w:type="spellEnd"/>
      <w:r>
        <w:rPr>
          <w:rFonts w:ascii="Times New Roman" w:eastAsia="Times New Roman" w:hAnsi="Times New Roman" w:cs="Times New Roman"/>
          <w:b/>
          <w:sz w:val="24"/>
          <w:szCs w:val="24"/>
        </w:rPr>
        <w:t xml:space="preserve"> диалекте осетинского языка</w:t>
      </w:r>
    </w:p>
    <w:p w:rsidR="00981990" w:rsidRDefault="00981990">
      <w:pPr>
        <w:spacing w:line="240" w:lineRule="auto"/>
        <w:jc w:val="center"/>
        <w:rPr>
          <w:rFonts w:ascii="Times New Roman" w:eastAsia="Times New Roman" w:hAnsi="Times New Roman" w:cs="Times New Roman"/>
          <w:b/>
          <w:sz w:val="24"/>
          <w:szCs w:val="24"/>
        </w:rPr>
      </w:pPr>
    </w:p>
    <w:p w:rsidR="00981990" w:rsidRDefault="00544B7F">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Тужик</w:t>
      </w:r>
      <w:proofErr w:type="spellEnd"/>
      <w:r>
        <w:rPr>
          <w:rFonts w:ascii="Times New Roman" w:eastAsia="Times New Roman" w:hAnsi="Times New Roman" w:cs="Times New Roman"/>
          <w:sz w:val="24"/>
          <w:szCs w:val="24"/>
        </w:rPr>
        <w:t xml:space="preserve"> Ольга Викторовна</w:t>
      </w:r>
    </w:p>
    <w:p w:rsidR="00981990" w:rsidRDefault="00981990">
      <w:pPr>
        <w:spacing w:line="240" w:lineRule="auto"/>
        <w:jc w:val="center"/>
        <w:rPr>
          <w:rFonts w:ascii="Times New Roman" w:eastAsia="Times New Roman" w:hAnsi="Times New Roman" w:cs="Times New Roman"/>
          <w:sz w:val="24"/>
          <w:szCs w:val="24"/>
        </w:rPr>
      </w:pPr>
    </w:p>
    <w:p w:rsidR="00981990" w:rsidRPr="00BC4C37" w:rsidRDefault="00544B7F">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Студентка Московского государственного университета имени М. В. Ломоносова, Москва, Россия</w:t>
      </w:r>
      <w:r>
        <w:rPr>
          <w:rFonts w:ascii="Times New Roman" w:eastAsia="Times New Roman" w:hAnsi="Times New Roman" w:cs="Times New Roman"/>
          <w:sz w:val="24"/>
          <w:szCs w:val="24"/>
        </w:rPr>
        <w:br/>
        <w:t>Лаборант-исследователь Института языкознания Российской Академии Наук</w:t>
      </w:r>
      <w:r w:rsidR="00BC4C37">
        <w:rPr>
          <w:rFonts w:ascii="Times New Roman" w:eastAsia="Times New Roman" w:hAnsi="Times New Roman" w:cs="Times New Roman"/>
          <w:sz w:val="24"/>
          <w:szCs w:val="24"/>
          <w:lang w:val="ru-RU"/>
        </w:rPr>
        <w:t>, Москва, Россия</w:t>
      </w:r>
      <w:bookmarkStart w:id="0" w:name="_GoBack"/>
      <w:bookmarkEnd w:id="0"/>
    </w:p>
    <w:p w:rsidR="00981990" w:rsidRDefault="00981990">
      <w:pPr>
        <w:spacing w:line="240" w:lineRule="auto"/>
        <w:jc w:val="both"/>
        <w:rPr>
          <w:rFonts w:ascii="Times New Roman" w:eastAsia="Times New Roman" w:hAnsi="Times New Roman" w:cs="Times New Roman"/>
          <w:b/>
          <w:sz w:val="24"/>
          <w:szCs w:val="24"/>
        </w:rPr>
      </w:pPr>
    </w:p>
    <w:p w:rsidR="00981990" w:rsidRDefault="00544B7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Дифференцированным объектным маркированием (далее – ДОМ) называется расщепленное кодирование </w:t>
      </w:r>
      <w:proofErr w:type="spellStart"/>
      <w:r>
        <w:rPr>
          <w:rFonts w:ascii="Times New Roman" w:eastAsia="Times New Roman" w:hAnsi="Times New Roman" w:cs="Times New Roman"/>
          <w:sz w:val="24"/>
          <w:szCs w:val="24"/>
        </w:rPr>
        <w:t>пациентивного</w:t>
      </w:r>
      <w:proofErr w:type="spellEnd"/>
      <w:r>
        <w:rPr>
          <w:rFonts w:ascii="Times New Roman" w:eastAsia="Times New Roman" w:hAnsi="Times New Roman" w:cs="Times New Roman"/>
          <w:sz w:val="24"/>
          <w:szCs w:val="24"/>
        </w:rPr>
        <w:t xml:space="preserve"> участника ситуации, выражаемого ИГ в позиции прямого дополнения (далее – ПД), в зависимости от свойств этого участника, предиката или ситуации в целом. Как и во многих иранских языках, это явление присутствует и в осетинском, где выбор производится между номинативом (немаркированная форма) и генитивом:</w:t>
      </w:r>
    </w:p>
    <w:p w:rsidR="00981990" w:rsidRDefault="00981990">
      <w:pPr>
        <w:spacing w:line="240" w:lineRule="auto"/>
        <w:ind w:firstLine="720"/>
        <w:jc w:val="both"/>
        <w:rPr>
          <w:rFonts w:ascii="Times New Roman" w:eastAsia="Times New Roman" w:hAnsi="Times New Roman" w:cs="Times New Roman"/>
          <w:sz w:val="24"/>
          <w:szCs w:val="24"/>
        </w:rPr>
      </w:pPr>
    </w:p>
    <w:p w:rsidR="00981990" w:rsidRDefault="00544B7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proofErr w:type="spellStart"/>
      <w:r>
        <w:rPr>
          <w:rFonts w:ascii="Times New Roman" w:eastAsia="Times New Roman" w:hAnsi="Times New Roman" w:cs="Times New Roman"/>
          <w:i/>
          <w:sz w:val="24"/>
          <w:szCs w:val="24"/>
        </w:rPr>
        <w:t>Зауыр</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тынг</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уарз</w:t>
      </w:r>
      <w:proofErr w:type="spellEnd"/>
      <w:r>
        <w:rPr>
          <w:rFonts w:ascii="Times New Roman" w:eastAsia="Times New Roman" w:hAnsi="Times New Roman" w:cs="Times New Roman"/>
          <w:i/>
          <w:sz w:val="24"/>
          <w:szCs w:val="24"/>
        </w:rPr>
        <w:t xml:space="preserve">-ы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гæды-тæ</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гæды</w:t>
      </w:r>
      <w:proofErr w:type="spellEnd"/>
      <w:r>
        <w:rPr>
          <w:rFonts w:ascii="Times New Roman" w:eastAsia="Times New Roman" w:hAnsi="Times New Roman" w:cs="Times New Roman"/>
          <w:i/>
          <w:sz w:val="24"/>
          <w:szCs w:val="24"/>
        </w:rPr>
        <w:t>-т-ы.</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sz w:val="24"/>
          <w:szCs w:val="24"/>
        </w:rPr>
        <w:t>Заур</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очень </w:t>
      </w:r>
      <w:r>
        <w:rPr>
          <w:rFonts w:ascii="Times New Roman" w:eastAsia="Times New Roman" w:hAnsi="Times New Roman" w:cs="Times New Roman"/>
          <w:sz w:val="24"/>
          <w:szCs w:val="24"/>
        </w:rPr>
        <w:tab/>
        <w:t xml:space="preserve">любить-PRS.3SG </w:t>
      </w:r>
      <w:r>
        <w:rPr>
          <w:rFonts w:ascii="Times New Roman" w:eastAsia="Times New Roman" w:hAnsi="Times New Roman" w:cs="Times New Roman"/>
          <w:sz w:val="24"/>
          <w:szCs w:val="24"/>
        </w:rPr>
        <w:tab/>
        <w:t xml:space="preserve">кошка-PL/кошка-PL-GEN </w:t>
      </w:r>
      <w:r>
        <w:rPr>
          <w:rFonts w:ascii="Times New Roman" w:eastAsia="Times New Roman" w:hAnsi="Times New Roman" w:cs="Times New Roman"/>
          <w:sz w:val="24"/>
          <w:szCs w:val="24"/>
        </w:rPr>
        <w:br/>
        <w:t>‘</w:t>
      </w:r>
      <w:proofErr w:type="spellStart"/>
      <w:r>
        <w:rPr>
          <w:rFonts w:ascii="Times New Roman" w:eastAsia="Times New Roman" w:hAnsi="Times New Roman" w:cs="Times New Roman"/>
          <w:sz w:val="24"/>
          <w:szCs w:val="24"/>
        </w:rPr>
        <w:t>Заур</w:t>
      </w:r>
      <w:proofErr w:type="spellEnd"/>
      <w:r>
        <w:rPr>
          <w:rFonts w:ascii="Times New Roman" w:eastAsia="Times New Roman" w:hAnsi="Times New Roman" w:cs="Times New Roman"/>
          <w:sz w:val="24"/>
          <w:szCs w:val="24"/>
        </w:rPr>
        <w:t xml:space="preserve"> очень любит кошек.’ [</w:t>
      </w:r>
      <w:proofErr w:type="spellStart"/>
      <w:r>
        <w:rPr>
          <w:rFonts w:ascii="Times New Roman" w:eastAsia="Times New Roman" w:hAnsi="Times New Roman" w:cs="Times New Roman"/>
          <w:sz w:val="24"/>
          <w:szCs w:val="24"/>
        </w:rPr>
        <w:t>Сердобольская</w:t>
      </w:r>
      <w:proofErr w:type="spellEnd"/>
      <w:r>
        <w:rPr>
          <w:rFonts w:ascii="Times New Roman" w:eastAsia="Times New Roman" w:hAnsi="Times New Roman" w:cs="Times New Roman"/>
          <w:sz w:val="24"/>
          <w:szCs w:val="24"/>
        </w:rPr>
        <w:t xml:space="preserve"> 2020]</w:t>
      </w:r>
    </w:p>
    <w:p w:rsidR="00981990" w:rsidRDefault="00981990">
      <w:pPr>
        <w:spacing w:line="240" w:lineRule="auto"/>
        <w:ind w:firstLine="720"/>
        <w:jc w:val="both"/>
        <w:rPr>
          <w:rFonts w:ascii="Times New Roman" w:eastAsia="Times New Roman" w:hAnsi="Times New Roman" w:cs="Times New Roman"/>
          <w:sz w:val="24"/>
          <w:szCs w:val="24"/>
        </w:rPr>
      </w:pPr>
    </w:p>
    <w:p w:rsidR="00981990" w:rsidRDefault="00544B7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грамматиках ([Абаев 1959], [</w:t>
      </w:r>
      <w:proofErr w:type="spellStart"/>
      <w:r>
        <w:rPr>
          <w:rFonts w:ascii="Times New Roman" w:eastAsia="Times New Roman" w:hAnsi="Times New Roman" w:cs="Times New Roman"/>
          <w:sz w:val="24"/>
          <w:szCs w:val="24"/>
        </w:rPr>
        <w:t>Thordarson</w:t>
      </w:r>
      <w:proofErr w:type="spellEnd"/>
      <w:r>
        <w:rPr>
          <w:rFonts w:ascii="Times New Roman" w:eastAsia="Times New Roman" w:hAnsi="Times New Roman" w:cs="Times New Roman"/>
          <w:sz w:val="24"/>
          <w:szCs w:val="24"/>
        </w:rPr>
        <w:t xml:space="preserve"> 2009] и др.) выделяются одушевлённость, определённость, личность, специфичность как факторы, влияющие на маркирование ПД.</w:t>
      </w:r>
    </w:p>
    <w:p w:rsidR="00981990" w:rsidRDefault="00544B7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w:t>
      </w:r>
      <w:proofErr w:type="spellStart"/>
      <w:r>
        <w:rPr>
          <w:rFonts w:ascii="Times New Roman" w:eastAsia="Times New Roman" w:hAnsi="Times New Roman" w:cs="Times New Roman"/>
          <w:sz w:val="24"/>
          <w:szCs w:val="24"/>
        </w:rPr>
        <w:t>Сердобольская</w:t>
      </w:r>
      <w:proofErr w:type="spellEnd"/>
      <w:r>
        <w:rPr>
          <w:rFonts w:ascii="Times New Roman" w:eastAsia="Times New Roman" w:hAnsi="Times New Roman" w:cs="Times New Roman"/>
          <w:sz w:val="24"/>
          <w:szCs w:val="24"/>
        </w:rPr>
        <w:t xml:space="preserve"> 2020] на материалах, собранных методом </w:t>
      </w:r>
      <w:proofErr w:type="spellStart"/>
      <w:r>
        <w:rPr>
          <w:rFonts w:ascii="Times New Roman" w:eastAsia="Times New Roman" w:hAnsi="Times New Roman" w:cs="Times New Roman"/>
          <w:sz w:val="24"/>
          <w:szCs w:val="24"/>
        </w:rPr>
        <w:t>элицитации</w:t>
      </w:r>
      <w:proofErr w:type="spellEnd"/>
      <w:r>
        <w:rPr>
          <w:rFonts w:ascii="Times New Roman" w:eastAsia="Times New Roman" w:hAnsi="Times New Roman" w:cs="Times New Roman"/>
          <w:sz w:val="24"/>
          <w:szCs w:val="24"/>
        </w:rPr>
        <w:t xml:space="preserve">, было установлено, что основным фактором выбора оформления ПД является одушевленность. Так, неодушевлённые существительные в позиции ПД всегда </w:t>
      </w:r>
      <w:proofErr w:type="spellStart"/>
      <w:r>
        <w:rPr>
          <w:rFonts w:ascii="Times New Roman" w:eastAsia="Times New Roman" w:hAnsi="Times New Roman" w:cs="Times New Roman"/>
          <w:sz w:val="24"/>
          <w:szCs w:val="24"/>
        </w:rPr>
        <w:t>немаркированы</w:t>
      </w:r>
      <w:proofErr w:type="spellEnd"/>
      <w:r>
        <w:rPr>
          <w:rFonts w:ascii="Times New Roman" w:eastAsia="Times New Roman" w:hAnsi="Times New Roman" w:cs="Times New Roman"/>
          <w:sz w:val="24"/>
          <w:szCs w:val="24"/>
        </w:rPr>
        <w:t xml:space="preserve">. Для лексических классов «люди» и «животные» </w:t>
      </w:r>
      <w:proofErr w:type="spellStart"/>
      <w:r>
        <w:rPr>
          <w:rFonts w:ascii="Times New Roman" w:eastAsia="Times New Roman" w:hAnsi="Times New Roman" w:cs="Times New Roman"/>
          <w:sz w:val="24"/>
          <w:szCs w:val="24"/>
        </w:rPr>
        <w:t>релевантен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референциальный</w:t>
      </w:r>
      <w:proofErr w:type="spellEnd"/>
      <w:r>
        <w:rPr>
          <w:rFonts w:ascii="Times New Roman" w:eastAsia="Times New Roman" w:hAnsi="Times New Roman" w:cs="Times New Roman"/>
          <w:sz w:val="24"/>
          <w:szCs w:val="24"/>
        </w:rPr>
        <w:t xml:space="preserve"> статус и «</w:t>
      </w:r>
      <w:proofErr w:type="spellStart"/>
      <w:r>
        <w:rPr>
          <w:rFonts w:ascii="Times New Roman" w:eastAsia="Times New Roman" w:hAnsi="Times New Roman" w:cs="Times New Roman"/>
          <w:sz w:val="24"/>
          <w:szCs w:val="24"/>
        </w:rPr>
        <w:t>индивидуализированность</w:t>
      </w:r>
      <w:proofErr w:type="spellEnd"/>
      <w:r>
        <w:rPr>
          <w:rFonts w:ascii="Times New Roman" w:eastAsia="Times New Roman" w:hAnsi="Times New Roman" w:cs="Times New Roman"/>
          <w:sz w:val="24"/>
          <w:szCs w:val="24"/>
        </w:rPr>
        <w:t>» (см. схему 1), однако это понятие не разбирается детально. В</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другой</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работе</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B1727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Сердобольской</w:t>
      </w:r>
      <w:proofErr w:type="spellEnd"/>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посвящённой</w:t>
      </w:r>
      <w:r w:rsidRPr="00B1727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ДОМу</w:t>
      </w:r>
      <w:proofErr w:type="spellEnd"/>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B1727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бесермянском</w:t>
      </w:r>
      <w:proofErr w:type="spellEnd"/>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удмуртском</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приведена</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следующая</w:t>
      </w:r>
      <w:r w:rsidRPr="00B172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трактовка</w:t>
      </w:r>
      <w:r w:rsidRPr="00B1727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индивидуализированности</w:t>
      </w:r>
      <w:proofErr w:type="spellEnd"/>
      <w:r w:rsidRPr="00B17274">
        <w:rPr>
          <w:rFonts w:ascii="Times New Roman" w:eastAsia="Times New Roman" w:hAnsi="Times New Roman" w:cs="Times New Roman"/>
          <w:sz w:val="24"/>
          <w:szCs w:val="24"/>
          <w:lang w:val="en-US"/>
        </w:rPr>
        <w:t>: «Farm animals (dogs/cats living on the farm are not included) are often dealt with in herds and flocks, where the individualization of particular animals is not required, while wild animals are seen one by one (during hunting or in case they come into the village or attack the herd)» [</w:t>
      </w:r>
      <w:proofErr w:type="spellStart"/>
      <w:r w:rsidRPr="00B17274">
        <w:rPr>
          <w:rFonts w:ascii="Times New Roman" w:eastAsia="Times New Roman" w:hAnsi="Times New Roman" w:cs="Times New Roman"/>
          <w:sz w:val="24"/>
          <w:szCs w:val="24"/>
          <w:lang w:val="en-US"/>
        </w:rPr>
        <w:t>Serdobolskaya</w:t>
      </w:r>
      <w:proofErr w:type="spellEnd"/>
      <w:r w:rsidRPr="00B17274">
        <w:rPr>
          <w:rFonts w:ascii="Times New Roman" w:eastAsia="Times New Roman" w:hAnsi="Times New Roman" w:cs="Times New Roman"/>
          <w:sz w:val="24"/>
          <w:szCs w:val="24"/>
          <w:lang w:val="en-US"/>
        </w:rPr>
        <w:t xml:space="preserve"> 2020: 291]. </w:t>
      </w:r>
      <w:r>
        <w:rPr>
          <w:rFonts w:ascii="Times New Roman" w:eastAsia="Times New Roman" w:hAnsi="Times New Roman" w:cs="Times New Roman"/>
          <w:sz w:val="24"/>
          <w:szCs w:val="24"/>
        </w:rPr>
        <w:t xml:space="preserve">Наши наблюдения показывают, что в осетинском языке класс животных действительно неоднороден, однако нам не удалось описать это противопоставление в терминах </w:t>
      </w:r>
      <w:proofErr w:type="spellStart"/>
      <w:r>
        <w:rPr>
          <w:rFonts w:ascii="Times New Roman" w:eastAsia="Times New Roman" w:hAnsi="Times New Roman" w:cs="Times New Roman"/>
          <w:sz w:val="24"/>
          <w:szCs w:val="24"/>
        </w:rPr>
        <w:t>индивидуализированности</w:t>
      </w:r>
      <w:proofErr w:type="spellEnd"/>
      <w:r>
        <w:rPr>
          <w:rFonts w:ascii="Times New Roman" w:eastAsia="Times New Roman" w:hAnsi="Times New Roman" w:cs="Times New Roman"/>
          <w:sz w:val="24"/>
          <w:szCs w:val="24"/>
        </w:rPr>
        <w:t xml:space="preserve">. В настоящей работе предпринята попытка определить, как еще могло бы быть устроено это противопоставление. Рабочая гипотеза состоит в том, что одна и та же лексема в позиции ПД может маркироваться по-разному в зависимости от ее </w:t>
      </w:r>
      <w:proofErr w:type="spellStart"/>
      <w:r>
        <w:rPr>
          <w:rFonts w:ascii="Times New Roman" w:eastAsia="Times New Roman" w:hAnsi="Times New Roman" w:cs="Times New Roman"/>
          <w:sz w:val="24"/>
          <w:szCs w:val="24"/>
        </w:rPr>
        <w:t>прото</w:t>
      </w:r>
      <w:proofErr w:type="spellEnd"/>
      <w:r>
        <w:rPr>
          <w:rFonts w:ascii="Times New Roman" w:eastAsia="Times New Roman" w:hAnsi="Times New Roman" w:cs="Times New Roman"/>
          <w:sz w:val="24"/>
          <w:szCs w:val="24"/>
        </w:rPr>
        <w:t xml:space="preserve">-роли. Мы опираемся на детальную классификацию агентивных и </w:t>
      </w:r>
      <w:proofErr w:type="spellStart"/>
      <w:r>
        <w:rPr>
          <w:rFonts w:ascii="Times New Roman" w:eastAsia="Times New Roman" w:hAnsi="Times New Roman" w:cs="Times New Roman"/>
          <w:sz w:val="24"/>
          <w:szCs w:val="24"/>
        </w:rPr>
        <w:t>пациентивных</w:t>
      </w:r>
      <w:proofErr w:type="spellEnd"/>
      <w:r>
        <w:rPr>
          <w:rFonts w:ascii="Times New Roman" w:eastAsia="Times New Roman" w:hAnsi="Times New Roman" w:cs="Times New Roman"/>
          <w:sz w:val="24"/>
          <w:szCs w:val="24"/>
        </w:rPr>
        <w:t xml:space="preserve"> признаков, предложенную в работе [</w:t>
      </w:r>
      <w:proofErr w:type="spellStart"/>
      <w:r>
        <w:rPr>
          <w:rFonts w:ascii="Times New Roman" w:eastAsia="Times New Roman" w:hAnsi="Times New Roman" w:cs="Times New Roman"/>
          <w:sz w:val="24"/>
          <w:szCs w:val="24"/>
        </w:rPr>
        <w:t>Dowty</w:t>
      </w:r>
      <w:proofErr w:type="spellEnd"/>
      <w:r>
        <w:rPr>
          <w:rFonts w:ascii="Times New Roman" w:eastAsia="Times New Roman" w:hAnsi="Times New Roman" w:cs="Times New Roman"/>
          <w:sz w:val="24"/>
          <w:szCs w:val="24"/>
        </w:rPr>
        <w:t xml:space="preserve"> 1991: 572].</w:t>
      </w:r>
    </w:p>
    <w:p w:rsidR="00981990" w:rsidRDefault="00544B7F">
      <w:pPr>
        <w:spacing w:before="240" w:after="240" w:line="240" w:lineRule="auto"/>
        <w:ind w:firstLine="720"/>
        <w:jc w:val="both"/>
        <w:rPr>
          <w:rFonts w:ascii="Times New Roman" w:eastAsia="Times New Roman" w:hAnsi="Times New Roman" w:cs="Times New Roman"/>
          <w:sz w:val="24"/>
          <w:szCs w:val="24"/>
        </w:rPr>
      </w:pPr>
      <w:r>
        <w:rPr>
          <w:noProof/>
          <w:lang w:val="ru-RU"/>
        </w:rPr>
        <w:lastRenderedPageBreak/>
        <w:drawing>
          <wp:anchor distT="114300" distB="114300" distL="114300" distR="114300" simplePos="0" relativeHeight="251658240" behindDoc="0" locked="0" layoutInCell="1" hidden="0" allowOverlap="1">
            <wp:simplePos x="0" y="0"/>
            <wp:positionH relativeFrom="column">
              <wp:posOffset>1279800</wp:posOffset>
            </wp:positionH>
            <wp:positionV relativeFrom="paragraph">
              <wp:posOffset>114300</wp:posOffset>
            </wp:positionV>
            <wp:extent cx="3656175" cy="2275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56175" cy="2275115"/>
                    </a:xfrm>
                    <a:prstGeom prst="rect">
                      <a:avLst/>
                    </a:prstGeom>
                    <a:ln/>
                  </pic:spPr>
                </pic:pic>
              </a:graphicData>
            </a:graphic>
          </wp:anchor>
        </w:drawing>
      </w: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B17274" w:rsidRDefault="00B17274">
      <w:pPr>
        <w:spacing w:before="240" w:after="240" w:line="240" w:lineRule="auto"/>
        <w:ind w:firstLine="708"/>
        <w:jc w:val="both"/>
        <w:rPr>
          <w:rFonts w:ascii="Times New Roman" w:eastAsia="Times New Roman" w:hAnsi="Times New Roman" w:cs="Times New Roman"/>
          <w:i/>
          <w:sz w:val="24"/>
          <w:szCs w:val="24"/>
        </w:rPr>
      </w:pPr>
    </w:p>
    <w:p w:rsidR="00B17274" w:rsidRDefault="00B17274">
      <w:pPr>
        <w:spacing w:before="240" w:after="240" w:line="240" w:lineRule="auto"/>
        <w:ind w:firstLine="708"/>
        <w:jc w:val="both"/>
        <w:rPr>
          <w:rFonts w:ascii="Times New Roman" w:eastAsia="Times New Roman" w:hAnsi="Times New Roman" w:cs="Times New Roman"/>
          <w:i/>
          <w:sz w:val="24"/>
          <w:szCs w:val="24"/>
        </w:rPr>
      </w:pPr>
    </w:p>
    <w:p w:rsidR="00981990" w:rsidRDefault="00544B7F">
      <w:pPr>
        <w:spacing w:before="240" w:after="24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Схема 1. Маркирование ПД в зависимости от </w:t>
      </w:r>
      <w:proofErr w:type="spellStart"/>
      <w:r>
        <w:rPr>
          <w:rFonts w:ascii="Times New Roman" w:eastAsia="Times New Roman" w:hAnsi="Times New Roman" w:cs="Times New Roman"/>
          <w:i/>
          <w:sz w:val="24"/>
          <w:szCs w:val="24"/>
        </w:rPr>
        <w:t>референциального</w:t>
      </w:r>
      <w:proofErr w:type="spellEnd"/>
      <w:r>
        <w:rPr>
          <w:rFonts w:ascii="Times New Roman" w:eastAsia="Times New Roman" w:hAnsi="Times New Roman" w:cs="Times New Roman"/>
          <w:i/>
          <w:sz w:val="24"/>
          <w:szCs w:val="24"/>
        </w:rPr>
        <w:t xml:space="preserve"> статуса и </w:t>
      </w:r>
      <w:proofErr w:type="spellStart"/>
      <w:r>
        <w:rPr>
          <w:rFonts w:ascii="Times New Roman" w:eastAsia="Times New Roman" w:hAnsi="Times New Roman" w:cs="Times New Roman"/>
          <w:i/>
          <w:sz w:val="24"/>
          <w:szCs w:val="24"/>
        </w:rPr>
        <w:t>индивидуализированности</w:t>
      </w:r>
      <w:proofErr w:type="spellEnd"/>
      <w:r>
        <w:rPr>
          <w:rFonts w:ascii="Times New Roman" w:eastAsia="Times New Roman" w:hAnsi="Times New Roman" w:cs="Times New Roman"/>
          <w:i/>
          <w:sz w:val="24"/>
          <w:szCs w:val="24"/>
        </w:rPr>
        <w:t xml:space="preserve"> для одушевлённых существительных [</w:t>
      </w:r>
      <w:proofErr w:type="spellStart"/>
      <w:r>
        <w:rPr>
          <w:rFonts w:ascii="Times New Roman" w:eastAsia="Times New Roman" w:hAnsi="Times New Roman" w:cs="Times New Roman"/>
          <w:i/>
          <w:sz w:val="24"/>
          <w:szCs w:val="24"/>
        </w:rPr>
        <w:t>Сердобольская</w:t>
      </w:r>
      <w:proofErr w:type="spellEnd"/>
      <w:r>
        <w:rPr>
          <w:rFonts w:ascii="Times New Roman" w:eastAsia="Times New Roman" w:hAnsi="Times New Roman" w:cs="Times New Roman"/>
          <w:i/>
          <w:sz w:val="24"/>
          <w:szCs w:val="24"/>
        </w:rPr>
        <w:t xml:space="preserve"> 2020].</w:t>
      </w:r>
    </w:p>
    <w:p w:rsidR="00981990" w:rsidRDefault="00544B7F">
      <w:pPr>
        <w:spacing w:before="240" w:after="24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проверки гипотезы был выбран класс рыб – один из подклассов неличных одушевленных существительных, который может </w:t>
      </w:r>
      <w:proofErr w:type="spellStart"/>
      <w:r>
        <w:rPr>
          <w:rFonts w:ascii="Times New Roman" w:eastAsia="Times New Roman" w:hAnsi="Times New Roman" w:cs="Times New Roman"/>
          <w:sz w:val="24"/>
          <w:szCs w:val="24"/>
        </w:rPr>
        <w:t>концептуализироваться</w:t>
      </w:r>
      <w:proofErr w:type="spellEnd"/>
      <w:r>
        <w:rPr>
          <w:rFonts w:ascii="Times New Roman" w:eastAsia="Times New Roman" w:hAnsi="Times New Roman" w:cs="Times New Roman"/>
          <w:sz w:val="24"/>
          <w:szCs w:val="24"/>
        </w:rPr>
        <w:t xml:space="preserve"> и как практически неодушевленный объект (пища), и как живой объект, наделенный </w:t>
      </w:r>
      <w:proofErr w:type="spellStart"/>
      <w:r>
        <w:rPr>
          <w:rFonts w:ascii="Times New Roman" w:eastAsia="Times New Roman" w:hAnsi="Times New Roman" w:cs="Times New Roman"/>
          <w:sz w:val="24"/>
          <w:szCs w:val="24"/>
        </w:rPr>
        <w:t>волитивностью</w:t>
      </w:r>
      <w:proofErr w:type="spellEnd"/>
      <w:r>
        <w:rPr>
          <w:rFonts w:ascii="Times New Roman" w:eastAsia="Times New Roman" w:hAnsi="Times New Roman" w:cs="Times New Roman"/>
          <w:sz w:val="24"/>
          <w:szCs w:val="24"/>
        </w:rPr>
        <w:t xml:space="preserve"> и способностью к сознательной деятельности. Исследование проводилось на материале осетинского перевода повести «Старик и море» Э. Хемингуэя – в этом тексте разные рыбы действуют с разной степенью активности и по-разному осмысляются главным героем.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В произведении нами были найдены 52 контекста с ПД, выраженным существительным, обозначающим какую-либо рыбу.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В 6 примерах ПД, имеющее определённую интерпретацию и обозначающее крупную рыбу (рыбу-протагониста), остается немаркированным:</w:t>
      </w:r>
    </w:p>
    <w:p w:rsidR="00981990" w:rsidRDefault="00544B7F">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i/>
          <w:sz w:val="24"/>
          <w:szCs w:val="24"/>
        </w:rPr>
        <w:t>Цыдæриддæр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хъæуы</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уый</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хъуамæ</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бацæттæ</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кæнон</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стæй</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b/>
          <w:i/>
          <w:sz w:val="24"/>
          <w:szCs w:val="24"/>
        </w:rPr>
        <w:t>кæф</w:t>
      </w:r>
      <w:proofErr w:type="spellEnd"/>
      <w:r>
        <w:rPr>
          <w:rFonts w:ascii="Times New Roman" w:eastAsia="Times New Roman" w:hAnsi="Times New Roman" w:cs="Times New Roman"/>
          <w:b/>
          <w:i/>
          <w:sz w:val="24"/>
          <w:szCs w:val="24"/>
        </w:rPr>
        <w:tab/>
      </w:r>
      <w:proofErr w:type="spellStart"/>
      <w:r>
        <w:rPr>
          <w:rFonts w:ascii="Times New Roman" w:eastAsia="Times New Roman" w:hAnsi="Times New Roman" w:cs="Times New Roman"/>
          <w:i/>
          <w:sz w:val="24"/>
          <w:szCs w:val="24"/>
        </w:rPr>
        <w:t>æрба</w:t>
      </w:r>
      <w:proofErr w:type="spellEnd"/>
      <w:r>
        <w:rPr>
          <w:rFonts w:ascii="Times New Roman" w:eastAsia="Times New Roman" w:hAnsi="Times New Roman" w:cs="Times New Roman"/>
          <w:i/>
          <w:sz w:val="24"/>
          <w:szCs w:val="24"/>
        </w:rPr>
        <w:t>-лас-</w:t>
      </w:r>
      <w:proofErr w:type="spellStart"/>
      <w:r>
        <w:rPr>
          <w:rFonts w:ascii="Times New Roman" w:eastAsia="Times New Roman" w:hAnsi="Times New Roman" w:cs="Times New Roman"/>
          <w:i/>
          <w:sz w:val="24"/>
          <w:szCs w:val="24"/>
        </w:rPr>
        <w:t>дзын</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æн</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бæлæгъ</w:t>
      </w:r>
      <w:proofErr w:type="spellEnd"/>
      <w:r>
        <w:rPr>
          <w:rFonts w:ascii="Times New Roman" w:eastAsia="Times New Roman" w:hAnsi="Times New Roman" w:cs="Times New Roman"/>
          <w:i/>
          <w:sz w:val="24"/>
          <w:szCs w:val="24"/>
        </w:rPr>
        <w:t xml:space="preserve">-ы </w:t>
      </w:r>
      <w:r>
        <w:rPr>
          <w:rFonts w:ascii="Times New Roman" w:eastAsia="Times New Roman" w:hAnsi="Times New Roman" w:cs="Times New Roman"/>
          <w:i/>
          <w:sz w:val="24"/>
          <w:szCs w:val="24"/>
        </w:rPr>
        <w:tab/>
        <w:t>фарс-</w:t>
      </w:r>
      <w:proofErr w:type="spellStart"/>
      <w:r>
        <w:rPr>
          <w:rFonts w:ascii="Times New Roman" w:eastAsia="Times New Roman" w:hAnsi="Times New Roman" w:cs="Times New Roman"/>
          <w:i/>
          <w:sz w:val="24"/>
          <w:szCs w:val="24"/>
        </w:rPr>
        <w:t>мæ</w:t>
      </w:r>
      <w:proofErr w:type="spell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потом</w:t>
      </w:r>
      <w:r>
        <w:rPr>
          <w:rFonts w:ascii="Times New Roman" w:eastAsia="Times New Roman" w:hAnsi="Times New Roman" w:cs="Times New Roman"/>
          <w:sz w:val="24"/>
          <w:szCs w:val="24"/>
        </w:rPr>
        <w:tab/>
        <w:t>рыба</w:t>
      </w:r>
      <w:r>
        <w:rPr>
          <w:rFonts w:ascii="Times New Roman" w:eastAsia="Times New Roman" w:hAnsi="Times New Roman" w:cs="Times New Roman"/>
          <w:sz w:val="24"/>
          <w:szCs w:val="24"/>
        </w:rPr>
        <w:tab/>
        <w:t>PV-возить-FUT-1SG</w:t>
      </w:r>
      <w:r>
        <w:rPr>
          <w:rFonts w:ascii="Times New Roman" w:eastAsia="Times New Roman" w:hAnsi="Times New Roman" w:cs="Times New Roman"/>
          <w:sz w:val="24"/>
          <w:szCs w:val="24"/>
        </w:rPr>
        <w:tab/>
        <w:t>лодка-GEN</w:t>
      </w:r>
      <w:r>
        <w:rPr>
          <w:rFonts w:ascii="Times New Roman" w:eastAsia="Times New Roman" w:hAnsi="Times New Roman" w:cs="Times New Roman"/>
          <w:sz w:val="24"/>
          <w:szCs w:val="24"/>
        </w:rPr>
        <w:tab/>
        <w:t>бок-ALL</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‘Я должен подготовить все, что нужно, а потом подтянуть </w:t>
      </w:r>
      <w:r>
        <w:rPr>
          <w:rFonts w:ascii="Times New Roman" w:eastAsia="Times New Roman" w:hAnsi="Times New Roman" w:cs="Times New Roman"/>
          <w:b/>
          <w:sz w:val="24"/>
          <w:szCs w:val="24"/>
        </w:rPr>
        <w:t>рыбу</w:t>
      </w:r>
      <w:r>
        <w:rPr>
          <w:rFonts w:ascii="Times New Roman" w:eastAsia="Times New Roman" w:hAnsi="Times New Roman" w:cs="Times New Roman"/>
          <w:sz w:val="24"/>
          <w:szCs w:val="24"/>
        </w:rPr>
        <w:t xml:space="preserve"> к борту.’ (речь об уже убитой рыбе).</w:t>
      </w:r>
    </w:p>
    <w:p w:rsidR="00981990" w:rsidRDefault="00544B7F">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16 примерах то же ПД маркируется генитивом:</w:t>
      </w:r>
    </w:p>
    <w:p w:rsidR="00981990" w:rsidRDefault="00544B7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proofErr w:type="spellStart"/>
      <w:r>
        <w:rPr>
          <w:rFonts w:ascii="Times New Roman" w:eastAsia="Times New Roman" w:hAnsi="Times New Roman" w:cs="Times New Roman"/>
          <w:i/>
          <w:sz w:val="24"/>
          <w:szCs w:val="24"/>
        </w:rPr>
        <w:t>Хуыз-дæр</w:t>
      </w:r>
      <w:proofErr w:type="spell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уыдзæн</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нырма</w:t>
      </w:r>
      <w:proofErr w:type="spell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b/>
          <w:i/>
          <w:sz w:val="24"/>
          <w:szCs w:val="24"/>
        </w:rPr>
        <w:t>кæф</w:t>
      </w:r>
      <w:proofErr w:type="spellEnd"/>
      <w:r>
        <w:rPr>
          <w:rFonts w:ascii="Times New Roman" w:eastAsia="Times New Roman" w:hAnsi="Times New Roman" w:cs="Times New Roman"/>
          <w:b/>
          <w:i/>
          <w:sz w:val="24"/>
          <w:szCs w:val="24"/>
        </w:rPr>
        <w:t>-ы</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куы</w:t>
      </w:r>
      <w:proofErr w:type="spell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лучший-CMPR</w:t>
      </w:r>
      <w:r>
        <w:rPr>
          <w:rFonts w:ascii="Times New Roman" w:eastAsia="Times New Roman" w:hAnsi="Times New Roman" w:cs="Times New Roman"/>
          <w:sz w:val="24"/>
          <w:szCs w:val="24"/>
        </w:rPr>
        <w:tab/>
        <w:t>быть.FUT.3SG</w:t>
      </w:r>
      <w:r>
        <w:rPr>
          <w:rFonts w:ascii="Times New Roman" w:eastAsia="Times New Roman" w:hAnsi="Times New Roman" w:cs="Times New Roman"/>
          <w:sz w:val="24"/>
          <w:szCs w:val="24"/>
        </w:rPr>
        <w:tab/>
        <w:t>пока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рыба-GEN</w:t>
      </w:r>
      <w:r>
        <w:rPr>
          <w:rFonts w:ascii="Times New Roman" w:eastAsia="Times New Roman" w:hAnsi="Times New Roman" w:cs="Times New Roman"/>
          <w:sz w:val="24"/>
          <w:szCs w:val="24"/>
        </w:rPr>
        <w:tab/>
        <w:t>когда</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нæ</w:t>
      </w:r>
      <w:proofErr w:type="spellEnd"/>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знæт</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кæн</w:t>
      </w:r>
      <w:proofErr w:type="spellEnd"/>
      <w:r>
        <w:rPr>
          <w:rFonts w:ascii="Times New Roman" w:eastAsia="Times New Roman" w:hAnsi="Times New Roman" w:cs="Times New Roman"/>
          <w:i/>
          <w:sz w:val="24"/>
          <w:szCs w:val="24"/>
        </w:rPr>
        <w:t xml:space="preserve">-он,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roofErr w:type="spellStart"/>
      <w:r>
        <w:rPr>
          <w:rFonts w:ascii="Times New Roman" w:eastAsia="Times New Roman" w:hAnsi="Times New Roman" w:cs="Times New Roman"/>
          <w:i/>
          <w:sz w:val="24"/>
          <w:szCs w:val="24"/>
        </w:rPr>
        <w:t>уæд</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ab/>
        <w:t>NEG</w:t>
      </w:r>
      <w:r>
        <w:rPr>
          <w:rFonts w:ascii="Times New Roman" w:eastAsia="Times New Roman" w:hAnsi="Times New Roman" w:cs="Times New Roman"/>
          <w:sz w:val="24"/>
          <w:szCs w:val="24"/>
        </w:rPr>
        <w:tab/>
        <w:t>возбужденный</w:t>
      </w:r>
      <w:r>
        <w:rPr>
          <w:rFonts w:ascii="Times New Roman" w:eastAsia="Times New Roman" w:hAnsi="Times New Roman" w:cs="Times New Roman"/>
          <w:sz w:val="24"/>
          <w:szCs w:val="24"/>
        </w:rPr>
        <w:tab/>
        <w:t>делать-SBJV.1SG</w:t>
      </w:r>
      <w:r>
        <w:rPr>
          <w:rFonts w:ascii="Times New Roman" w:eastAsia="Times New Roman" w:hAnsi="Times New Roman" w:cs="Times New Roman"/>
          <w:sz w:val="24"/>
          <w:szCs w:val="24"/>
        </w:rPr>
        <w:tab/>
        <w:t>тогда</w:t>
      </w:r>
    </w:p>
    <w:p w:rsidR="00981990" w:rsidRDefault="00544B7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уæлдайдæр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хурныгуылын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афон</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981990" w:rsidRDefault="00544B7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мне покуда не беспокоить </w:t>
      </w:r>
      <w:r>
        <w:rPr>
          <w:rFonts w:ascii="Times New Roman" w:eastAsia="Times New Roman" w:hAnsi="Times New Roman" w:cs="Times New Roman"/>
          <w:b/>
          <w:sz w:val="24"/>
          <w:szCs w:val="24"/>
        </w:rPr>
        <w:t>рыбу</w:t>
      </w:r>
      <w:r>
        <w:rPr>
          <w:rFonts w:ascii="Times New Roman" w:eastAsia="Times New Roman" w:hAnsi="Times New Roman" w:cs="Times New Roman"/>
          <w:sz w:val="24"/>
          <w:szCs w:val="24"/>
        </w:rPr>
        <w:t>, (особенно во время захода солнца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(рыба в этот момент плывет, таща за собой лодку старика).</w:t>
      </w:r>
    </w:p>
    <w:p w:rsidR="00981990" w:rsidRDefault="00544B7F">
      <w:pPr>
        <w:spacing w:before="240" w:after="240" w:line="24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Если для осетинского предположить такое же понимание </w:t>
      </w:r>
      <w:proofErr w:type="spellStart"/>
      <w:r>
        <w:rPr>
          <w:rFonts w:ascii="Times New Roman" w:eastAsia="Times New Roman" w:hAnsi="Times New Roman" w:cs="Times New Roman"/>
          <w:sz w:val="24"/>
          <w:szCs w:val="24"/>
        </w:rPr>
        <w:t>индивидуализированности</w:t>
      </w:r>
      <w:proofErr w:type="spellEnd"/>
      <w:r>
        <w:rPr>
          <w:rFonts w:ascii="Times New Roman" w:eastAsia="Times New Roman" w:hAnsi="Times New Roman" w:cs="Times New Roman"/>
          <w:sz w:val="24"/>
          <w:szCs w:val="24"/>
        </w:rPr>
        <w:t>, как в [</w:t>
      </w:r>
      <w:proofErr w:type="spellStart"/>
      <w:r>
        <w:rPr>
          <w:rFonts w:ascii="Times New Roman" w:eastAsia="Times New Roman" w:hAnsi="Times New Roman" w:cs="Times New Roman"/>
          <w:sz w:val="24"/>
          <w:szCs w:val="24"/>
        </w:rPr>
        <w:t>Serdobolskaya</w:t>
      </w:r>
      <w:proofErr w:type="spellEnd"/>
      <w:r>
        <w:rPr>
          <w:rFonts w:ascii="Times New Roman" w:eastAsia="Times New Roman" w:hAnsi="Times New Roman" w:cs="Times New Roman"/>
          <w:sz w:val="24"/>
          <w:szCs w:val="24"/>
        </w:rPr>
        <w:t xml:space="preserve"> 2020: 291], то рыб, по-видимому, стоит </w:t>
      </w:r>
      <w:r>
        <w:rPr>
          <w:rFonts w:ascii="Times New Roman" w:eastAsia="Times New Roman" w:hAnsi="Times New Roman" w:cs="Times New Roman"/>
          <w:sz w:val="24"/>
          <w:szCs w:val="24"/>
        </w:rPr>
        <w:lastRenderedPageBreak/>
        <w:t>относить к неиндивидуализированным животным, если они живут стаями,</w:t>
      </w:r>
      <w:r w:rsidR="00AC588B">
        <w:rPr>
          <w:rFonts w:ascii="Times New Roman" w:eastAsia="Times New Roman" w:hAnsi="Times New Roman" w:cs="Times New Roman"/>
          <w:sz w:val="24"/>
          <w:szCs w:val="24"/>
        </w:rPr>
        <w:t xml:space="preserve"> разводятся людьми специально, </w:t>
      </w:r>
      <w:r>
        <w:rPr>
          <w:rFonts w:ascii="Times New Roman" w:eastAsia="Times New Roman" w:hAnsi="Times New Roman" w:cs="Times New Roman"/>
          <w:sz w:val="24"/>
          <w:szCs w:val="24"/>
        </w:rPr>
        <w:t xml:space="preserve">и к индивидуализированным, если они живут обособленно и их ловят поодиночке так же, как охотятся на диких зверей. Тогда рыба-протагонист из примеров (2) и (3) индивидуализирована, и номинатив для неё недопустим, что приводит к противоречию, поскольку в обоих примерах она имеет определенный </w:t>
      </w:r>
      <w:proofErr w:type="spellStart"/>
      <w:r>
        <w:rPr>
          <w:rFonts w:ascii="Times New Roman" w:eastAsia="Times New Roman" w:hAnsi="Times New Roman" w:cs="Times New Roman"/>
          <w:sz w:val="24"/>
          <w:szCs w:val="24"/>
        </w:rPr>
        <w:t>референциальный</w:t>
      </w:r>
      <w:proofErr w:type="spellEnd"/>
      <w:r>
        <w:rPr>
          <w:rFonts w:ascii="Times New Roman" w:eastAsia="Times New Roman" w:hAnsi="Times New Roman" w:cs="Times New Roman"/>
          <w:sz w:val="24"/>
          <w:szCs w:val="24"/>
        </w:rPr>
        <w:t xml:space="preserve"> статус (см. схему 1), при этом в (2) она имеет форму номинатива. Мы предполагаем, что решающим фактор</w:t>
      </w:r>
      <w:r w:rsidR="00AC588B">
        <w:rPr>
          <w:rFonts w:ascii="Times New Roman" w:eastAsia="Times New Roman" w:hAnsi="Times New Roman" w:cs="Times New Roman"/>
          <w:sz w:val="24"/>
          <w:szCs w:val="24"/>
        </w:rPr>
        <w:t xml:space="preserve">ом в данном случае является не </w:t>
      </w:r>
      <w:proofErr w:type="spellStart"/>
      <w:r>
        <w:rPr>
          <w:rFonts w:ascii="Times New Roman" w:eastAsia="Times New Roman" w:hAnsi="Times New Roman" w:cs="Times New Roman"/>
          <w:sz w:val="24"/>
          <w:szCs w:val="24"/>
        </w:rPr>
        <w:t>индивидуализированность</w:t>
      </w:r>
      <w:proofErr w:type="spellEnd"/>
      <w:r>
        <w:rPr>
          <w:rFonts w:ascii="Times New Roman" w:eastAsia="Times New Roman" w:hAnsi="Times New Roman" w:cs="Times New Roman"/>
          <w:sz w:val="24"/>
          <w:szCs w:val="24"/>
        </w:rPr>
        <w:t xml:space="preserve">, а семантическая роль ПД, а именно степень его </w:t>
      </w:r>
      <w:proofErr w:type="spellStart"/>
      <w:r>
        <w:rPr>
          <w:rFonts w:ascii="Times New Roman" w:eastAsia="Times New Roman" w:hAnsi="Times New Roman" w:cs="Times New Roman"/>
          <w:sz w:val="24"/>
          <w:szCs w:val="24"/>
        </w:rPr>
        <w:t>пациентивности</w:t>
      </w:r>
      <w:proofErr w:type="spellEnd"/>
      <w:r>
        <w:rPr>
          <w:rFonts w:ascii="Times New Roman" w:eastAsia="Times New Roman" w:hAnsi="Times New Roman" w:cs="Times New Roman"/>
          <w:sz w:val="24"/>
          <w:szCs w:val="24"/>
        </w:rPr>
        <w:t xml:space="preserve">. Мы предлагаем использовать понятие </w:t>
      </w:r>
      <w:proofErr w:type="spellStart"/>
      <w:r>
        <w:rPr>
          <w:rFonts w:ascii="Times New Roman" w:eastAsia="Times New Roman" w:hAnsi="Times New Roman" w:cs="Times New Roman"/>
          <w:sz w:val="24"/>
          <w:szCs w:val="24"/>
        </w:rPr>
        <w:t>прото</w:t>
      </w:r>
      <w:proofErr w:type="spellEnd"/>
      <w:r>
        <w:rPr>
          <w:rFonts w:ascii="Times New Roman" w:eastAsia="Times New Roman" w:hAnsi="Times New Roman" w:cs="Times New Roman"/>
          <w:sz w:val="24"/>
          <w:szCs w:val="24"/>
        </w:rPr>
        <w:t>-роли по [</w:t>
      </w:r>
      <w:proofErr w:type="spellStart"/>
      <w:r>
        <w:rPr>
          <w:rFonts w:ascii="Times New Roman" w:eastAsia="Times New Roman" w:hAnsi="Times New Roman" w:cs="Times New Roman"/>
          <w:sz w:val="24"/>
          <w:szCs w:val="24"/>
        </w:rPr>
        <w:t>Dowty</w:t>
      </w:r>
      <w:proofErr w:type="spellEnd"/>
      <w:r>
        <w:rPr>
          <w:rFonts w:ascii="Times New Roman" w:eastAsia="Times New Roman" w:hAnsi="Times New Roman" w:cs="Times New Roman"/>
          <w:sz w:val="24"/>
          <w:szCs w:val="24"/>
        </w:rPr>
        <w:t xml:space="preserve"> 1991]. Обычно объект является </w:t>
      </w:r>
      <w:proofErr w:type="spellStart"/>
      <w:r>
        <w:rPr>
          <w:rFonts w:ascii="Times New Roman" w:eastAsia="Times New Roman" w:hAnsi="Times New Roman" w:cs="Times New Roman"/>
          <w:sz w:val="24"/>
          <w:szCs w:val="24"/>
        </w:rPr>
        <w:t>прото-пациенсом</w:t>
      </w:r>
      <w:proofErr w:type="spellEnd"/>
      <w:r>
        <w:rPr>
          <w:rFonts w:ascii="Times New Roman" w:eastAsia="Times New Roman" w:hAnsi="Times New Roman" w:cs="Times New Roman"/>
          <w:sz w:val="24"/>
          <w:szCs w:val="24"/>
        </w:rPr>
        <w:t xml:space="preserve">, но здесь мы условно называем </w:t>
      </w:r>
      <w:proofErr w:type="spellStart"/>
      <w:r>
        <w:rPr>
          <w:rFonts w:ascii="Times New Roman" w:eastAsia="Times New Roman" w:hAnsi="Times New Roman" w:cs="Times New Roman"/>
          <w:sz w:val="24"/>
          <w:szCs w:val="24"/>
        </w:rPr>
        <w:t>прото-агенсом</w:t>
      </w:r>
      <w:proofErr w:type="spellEnd"/>
      <w:r>
        <w:rPr>
          <w:rFonts w:ascii="Times New Roman" w:eastAsia="Times New Roman" w:hAnsi="Times New Roman" w:cs="Times New Roman"/>
          <w:sz w:val="24"/>
          <w:szCs w:val="24"/>
        </w:rPr>
        <w:t xml:space="preserve"> того участника в позиции ПД, который обладает хотя бы одним из свойств </w:t>
      </w:r>
      <w:proofErr w:type="spellStart"/>
      <w:r>
        <w:rPr>
          <w:rFonts w:ascii="Times New Roman" w:eastAsia="Times New Roman" w:hAnsi="Times New Roman" w:cs="Times New Roman"/>
          <w:sz w:val="24"/>
          <w:szCs w:val="24"/>
        </w:rPr>
        <w:t>прото-агенса</w:t>
      </w:r>
      <w:proofErr w:type="spellEnd"/>
      <w:r>
        <w:rPr>
          <w:rFonts w:ascii="Times New Roman" w:eastAsia="Times New Roman" w:hAnsi="Times New Roman" w:cs="Times New Roman"/>
          <w:sz w:val="24"/>
          <w:szCs w:val="24"/>
        </w:rPr>
        <w:t xml:space="preserve"> или обладает только одним из свойств </w:t>
      </w:r>
      <w:proofErr w:type="spellStart"/>
      <w:r>
        <w:rPr>
          <w:rFonts w:ascii="Times New Roman" w:eastAsia="Times New Roman" w:hAnsi="Times New Roman" w:cs="Times New Roman"/>
          <w:sz w:val="24"/>
          <w:szCs w:val="24"/>
        </w:rPr>
        <w:t>прото-пациенса</w:t>
      </w:r>
      <w:proofErr w:type="spellEnd"/>
      <w:r>
        <w:rPr>
          <w:rFonts w:ascii="Times New Roman" w:eastAsia="Times New Roman" w:hAnsi="Times New Roman" w:cs="Times New Roman"/>
          <w:sz w:val="24"/>
          <w:szCs w:val="24"/>
        </w:rPr>
        <w:t>, перечисленных в [</w:t>
      </w:r>
      <w:proofErr w:type="spellStart"/>
      <w:r>
        <w:rPr>
          <w:rFonts w:ascii="Times New Roman" w:eastAsia="Times New Roman" w:hAnsi="Times New Roman" w:cs="Times New Roman"/>
          <w:sz w:val="24"/>
          <w:szCs w:val="24"/>
        </w:rPr>
        <w:t>Dowty</w:t>
      </w:r>
      <w:proofErr w:type="spellEnd"/>
      <w:r>
        <w:rPr>
          <w:rFonts w:ascii="Times New Roman" w:eastAsia="Times New Roman" w:hAnsi="Times New Roman" w:cs="Times New Roman"/>
          <w:sz w:val="24"/>
          <w:szCs w:val="24"/>
        </w:rPr>
        <w:t xml:space="preserve"> 1991: 572], и называем </w:t>
      </w:r>
      <w:proofErr w:type="spellStart"/>
      <w:r>
        <w:rPr>
          <w:rFonts w:ascii="Times New Roman" w:eastAsia="Times New Roman" w:hAnsi="Times New Roman" w:cs="Times New Roman"/>
          <w:sz w:val="24"/>
          <w:szCs w:val="24"/>
        </w:rPr>
        <w:t>прото-пациенсом</w:t>
      </w:r>
      <w:proofErr w:type="spellEnd"/>
      <w:r>
        <w:rPr>
          <w:rFonts w:ascii="Times New Roman" w:eastAsia="Times New Roman" w:hAnsi="Times New Roman" w:cs="Times New Roman"/>
          <w:sz w:val="24"/>
          <w:szCs w:val="24"/>
        </w:rPr>
        <w:t xml:space="preserve"> того, кто обладает двумя и более свойствами </w:t>
      </w:r>
      <w:proofErr w:type="spellStart"/>
      <w:r>
        <w:rPr>
          <w:rFonts w:ascii="Times New Roman" w:eastAsia="Times New Roman" w:hAnsi="Times New Roman" w:cs="Times New Roman"/>
          <w:sz w:val="24"/>
          <w:szCs w:val="24"/>
        </w:rPr>
        <w:t>прото-пациенса</w:t>
      </w:r>
      <w:proofErr w:type="spellEnd"/>
      <w:r>
        <w:rPr>
          <w:rFonts w:ascii="Times New Roman" w:eastAsia="Times New Roman" w:hAnsi="Times New Roman" w:cs="Times New Roman"/>
          <w:sz w:val="24"/>
          <w:szCs w:val="24"/>
        </w:rPr>
        <w:t xml:space="preserve">. Тест Фишера показал наличие связи между </w:t>
      </w:r>
      <w:proofErr w:type="spellStart"/>
      <w:r>
        <w:rPr>
          <w:rFonts w:ascii="Times New Roman" w:eastAsia="Times New Roman" w:hAnsi="Times New Roman" w:cs="Times New Roman"/>
          <w:sz w:val="24"/>
          <w:szCs w:val="24"/>
        </w:rPr>
        <w:t>прото</w:t>
      </w:r>
      <w:proofErr w:type="spellEnd"/>
      <w:r>
        <w:rPr>
          <w:rFonts w:ascii="Times New Roman" w:eastAsia="Times New Roman" w:hAnsi="Times New Roman" w:cs="Times New Roman"/>
          <w:sz w:val="24"/>
          <w:szCs w:val="24"/>
        </w:rPr>
        <w:t>-ролью и маркированием ПД:</w:t>
      </w:r>
    </w:p>
    <w:tbl>
      <w:tblPr>
        <w:tblStyle w:val="a5"/>
        <w:tblpPr w:leftFromText="180" w:rightFromText="180" w:topFromText="180" w:bottomFromText="180" w:vertAnchor="text" w:tblpX="1948"/>
        <w:tblW w:w="56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25"/>
        <w:gridCol w:w="1425"/>
        <w:gridCol w:w="1335"/>
        <w:gridCol w:w="900"/>
      </w:tblGrid>
      <w:tr w:rsidR="00981990">
        <w:trPr>
          <w:trHeight w:val="345"/>
        </w:trPr>
        <w:tc>
          <w:tcPr>
            <w:tcW w:w="2025" w:type="dxa"/>
            <w:vMerge w:val="restart"/>
            <w:tcBorders>
              <w:top w:val="single" w:sz="4" w:space="0" w:color="123456"/>
              <w:left w:val="single" w:sz="4" w:space="0" w:color="000000"/>
              <w:bottom w:val="single" w:sz="4" w:space="0" w:color="123456"/>
              <w:right w:val="single" w:sz="4" w:space="0" w:color="123456"/>
            </w:tcBorders>
            <w:shd w:val="clear" w:color="auto" w:fill="auto"/>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Факторный признак</w:t>
            </w:r>
          </w:p>
        </w:tc>
        <w:tc>
          <w:tcPr>
            <w:tcW w:w="2760" w:type="dxa"/>
            <w:gridSpan w:val="2"/>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Результативный признак</w:t>
            </w:r>
          </w:p>
        </w:tc>
        <w:tc>
          <w:tcPr>
            <w:tcW w:w="900" w:type="dxa"/>
            <w:vMerge w:val="restart"/>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w:t>
            </w:r>
          </w:p>
        </w:tc>
      </w:tr>
      <w:tr w:rsidR="00981990">
        <w:trPr>
          <w:trHeight w:val="345"/>
        </w:trPr>
        <w:tc>
          <w:tcPr>
            <w:tcW w:w="2025" w:type="dxa"/>
            <w:vMerge/>
            <w:tcBorders>
              <w:top w:val="single" w:sz="4" w:space="0" w:color="123456"/>
              <w:left w:val="single" w:sz="4" w:space="0" w:color="000000"/>
              <w:bottom w:val="single" w:sz="4" w:space="0" w:color="123456"/>
              <w:right w:val="single" w:sz="4" w:space="0" w:color="123456"/>
            </w:tcBorders>
            <w:shd w:val="clear" w:color="auto" w:fill="auto"/>
            <w:tcMar>
              <w:top w:w="100" w:type="dxa"/>
              <w:left w:w="100" w:type="dxa"/>
              <w:bottom w:w="100" w:type="dxa"/>
              <w:right w:w="100" w:type="dxa"/>
            </w:tcMar>
          </w:tcPr>
          <w:p w:rsidR="00981990" w:rsidRDefault="00981990">
            <w:pPr>
              <w:widowControl w:val="0"/>
              <w:spacing w:line="240" w:lineRule="auto"/>
              <w:jc w:val="both"/>
              <w:rPr>
                <w:rFonts w:ascii="Times New Roman" w:eastAsia="Times New Roman" w:hAnsi="Times New Roman" w:cs="Times New Roman"/>
                <w:sz w:val="24"/>
                <w:szCs w:val="24"/>
              </w:rPr>
            </w:pPr>
          </w:p>
        </w:tc>
        <w:tc>
          <w:tcPr>
            <w:tcW w:w="142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номинатив</w:t>
            </w:r>
          </w:p>
        </w:tc>
        <w:tc>
          <w:tcPr>
            <w:tcW w:w="133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генитив</w:t>
            </w:r>
          </w:p>
        </w:tc>
        <w:tc>
          <w:tcPr>
            <w:tcW w:w="900" w:type="dxa"/>
            <w:vMerge/>
            <w:tcBorders>
              <w:top w:val="single" w:sz="4" w:space="0" w:color="123456"/>
              <w:left w:val="single" w:sz="4" w:space="0" w:color="123456"/>
              <w:bottom w:val="single" w:sz="4" w:space="0" w:color="123456"/>
              <w:right w:val="single" w:sz="4" w:space="0" w:color="123456"/>
            </w:tcBorders>
            <w:shd w:val="clear" w:color="auto" w:fill="auto"/>
            <w:tcMar>
              <w:top w:w="100" w:type="dxa"/>
              <w:left w:w="100" w:type="dxa"/>
              <w:bottom w:w="100" w:type="dxa"/>
              <w:right w:w="100" w:type="dxa"/>
            </w:tcMar>
          </w:tcPr>
          <w:p w:rsidR="00981990" w:rsidRDefault="00981990">
            <w:pPr>
              <w:widowControl w:val="0"/>
              <w:spacing w:line="240" w:lineRule="auto"/>
              <w:jc w:val="both"/>
              <w:rPr>
                <w:rFonts w:ascii="Times New Roman" w:eastAsia="Times New Roman" w:hAnsi="Times New Roman" w:cs="Times New Roman"/>
                <w:sz w:val="24"/>
                <w:szCs w:val="24"/>
              </w:rPr>
            </w:pPr>
          </w:p>
        </w:tc>
      </w:tr>
      <w:tr w:rsidR="00981990">
        <w:trPr>
          <w:trHeight w:val="345"/>
        </w:trPr>
        <w:tc>
          <w:tcPr>
            <w:tcW w:w="2025" w:type="dxa"/>
            <w:tcBorders>
              <w:top w:val="single" w:sz="4" w:space="0" w:color="123456"/>
              <w:left w:val="single" w:sz="4" w:space="0" w:color="000000"/>
              <w:bottom w:val="single" w:sz="4" w:space="0" w:color="123456"/>
              <w:right w:val="single" w:sz="4" w:space="0" w:color="123456"/>
            </w:tcBorders>
            <w:shd w:val="clear" w:color="auto" w:fill="auto"/>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прото-агенс</w:t>
            </w:r>
            <w:proofErr w:type="spellEnd"/>
            <w:r>
              <w:rPr>
                <w:rFonts w:ascii="Times New Roman" w:eastAsia="Times New Roman" w:hAnsi="Times New Roman" w:cs="Times New Roman"/>
                <w:sz w:val="24"/>
                <w:szCs w:val="24"/>
              </w:rPr>
              <w:t>”</w:t>
            </w:r>
          </w:p>
        </w:tc>
        <w:tc>
          <w:tcPr>
            <w:tcW w:w="142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00"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981990">
        <w:trPr>
          <w:trHeight w:val="345"/>
        </w:trPr>
        <w:tc>
          <w:tcPr>
            <w:tcW w:w="2025" w:type="dxa"/>
            <w:tcBorders>
              <w:top w:val="single" w:sz="4" w:space="0" w:color="123456"/>
              <w:left w:val="single" w:sz="4" w:space="0" w:color="000000"/>
              <w:bottom w:val="single" w:sz="4" w:space="0" w:color="123456"/>
              <w:right w:val="single" w:sz="4" w:space="0" w:color="123456"/>
            </w:tcBorders>
            <w:shd w:val="clear" w:color="auto" w:fill="auto"/>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прото-пациенс</w:t>
            </w:r>
            <w:proofErr w:type="spellEnd"/>
            <w:r>
              <w:rPr>
                <w:rFonts w:ascii="Times New Roman" w:eastAsia="Times New Roman" w:hAnsi="Times New Roman" w:cs="Times New Roman"/>
                <w:sz w:val="24"/>
                <w:szCs w:val="24"/>
              </w:rPr>
              <w:t>”</w:t>
            </w:r>
          </w:p>
        </w:tc>
        <w:tc>
          <w:tcPr>
            <w:tcW w:w="142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3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00"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981990">
        <w:trPr>
          <w:trHeight w:val="345"/>
        </w:trPr>
        <w:tc>
          <w:tcPr>
            <w:tcW w:w="2025" w:type="dxa"/>
            <w:tcBorders>
              <w:top w:val="single" w:sz="4" w:space="0" w:color="123456"/>
              <w:left w:val="single" w:sz="4" w:space="0" w:color="000000"/>
              <w:bottom w:val="single" w:sz="4" w:space="0" w:color="123456"/>
              <w:right w:val="single" w:sz="4" w:space="0" w:color="123456"/>
            </w:tcBorders>
            <w:shd w:val="clear" w:color="auto" w:fill="auto"/>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2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35"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00" w:type="dxa"/>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81990">
        <w:trPr>
          <w:trHeight w:val="345"/>
        </w:trPr>
        <w:tc>
          <w:tcPr>
            <w:tcW w:w="2025" w:type="dxa"/>
            <w:tcBorders>
              <w:top w:val="single" w:sz="4" w:space="0" w:color="123456"/>
              <w:left w:val="single" w:sz="4" w:space="0" w:color="000000"/>
              <w:bottom w:val="single" w:sz="4" w:space="0" w:color="123456"/>
              <w:right w:val="single" w:sz="4" w:space="0" w:color="123456"/>
            </w:tcBorders>
            <w:shd w:val="clear" w:color="auto" w:fill="auto"/>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w:t>
            </w:r>
          </w:p>
        </w:tc>
        <w:tc>
          <w:tcPr>
            <w:tcW w:w="3660" w:type="dxa"/>
            <w:gridSpan w:val="3"/>
            <w:tcBorders>
              <w:top w:val="single" w:sz="4" w:space="0" w:color="123456"/>
              <w:left w:val="single" w:sz="4" w:space="0" w:color="123456"/>
              <w:bottom w:val="single" w:sz="4" w:space="0" w:color="123456"/>
              <w:right w:val="single" w:sz="4" w:space="0" w:color="123456"/>
            </w:tcBorders>
            <w:tcMar>
              <w:top w:w="40" w:type="dxa"/>
              <w:left w:w="40" w:type="dxa"/>
              <w:bottom w:w="40" w:type="dxa"/>
              <w:right w:w="40" w:type="dxa"/>
            </w:tcMar>
            <w:vAlign w:val="bottom"/>
          </w:tcPr>
          <w:p w:rsidR="00981990" w:rsidRDefault="00544B7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bl>
    <w:p w:rsidR="00981990" w:rsidRDefault="00981990">
      <w:pPr>
        <w:spacing w:before="240" w:after="240" w:line="240" w:lineRule="auto"/>
        <w:ind w:firstLine="708"/>
        <w:jc w:val="both"/>
        <w:rPr>
          <w:rFonts w:ascii="Times New Roman" w:eastAsia="Times New Roman" w:hAnsi="Times New Roman" w:cs="Times New Roman"/>
          <w:sz w:val="24"/>
          <w:szCs w:val="24"/>
          <w:highlight w:val="yellow"/>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981990" w:rsidRDefault="00981990">
      <w:pPr>
        <w:spacing w:before="240" w:after="240" w:line="240" w:lineRule="auto"/>
        <w:ind w:firstLine="708"/>
        <w:jc w:val="both"/>
        <w:rPr>
          <w:rFonts w:ascii="Times New Roman" w:eastAsia="Times New Roman" w:hAnsi="Times New Roman" w:cs="Times New Roman"/>
          <w:i/>
          <w:sz w:val="24"/>
          <w:szCs w:val="24"/>
        </w:rPr>
      </w:pPr>
    </w:p>
    <w:p w:rsidR="00B17274" w:rsidRDefault="00B17274">
      <w:pPr>
        <w:spacing w:before="240" w:after="240" w:line="240" w:lineRule="auto"/>
        <w:ind w:firstLine="708"/>
        <w:jc w:val="both"/>
        <w:rPr>
          <w:rFonts w:ascii="Times New Roman" w:eastAsia="Times New Roman" w:hAnsi="Times New Roman" w:cs="Times New Roman"/>
          <w:i/>
          <w:sz w:val="24"/>
          <w:szCs w:val="24"/>
        </w:rPr>
      </w:pPr>
    </w:p>
    <w:p w:rsidR="00981990" w:rsidRDefault="00544B7F" w:rsidP="00B17274">
      <w:pPr>
        <w:spacing w:before="240" w:after="240" w:line="240" w:lineRule="auto"/>
        <w:ind w:firstLine="70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Таблица 1. Количество ПД в номинативе или в генитиве в зависимости от </w:t>
      </w:r>
      <w:proofErr w:type="spellStart"/>
      <w:r>
        <w:rPr>
          <w:rFonts w:ascii="Times New Roman" w:eastAsia="Times New Roman" w:hAnsi="Times New Roman" w:cs="Times New Roman"/>
          <w:i/>
          <w:sz w:val="24"/>
          <w:szCs w:val="24"/>
        </w:rPr>
        <w:t>прото</w:t>
      </w:r>
      <w:proofErr w:type="spellEnd"/>
      <w:r>
        <w:rPr>
          <w:rFonts w:ascii="Times New Roman" w:eastAsia="Times New Roman" w:hAnsi="Times New Roman" w:cs="Times New Roman"/>
          <w:i/>
          <w:sz w:val="24"/>
          <w:szCs w:val="24"/>
        </w:rPr>
        <w:t>-роли</w:t>
      </w:r>
    </w:p>
    <w:p w:rsidR="00981990" w:rsidRDefault="00544B7F">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Таким образом, кажется необходимым продолжить исследование фактора </w:t>
      </w:r>
      <w:proofErr w:type="spellStart"/>
      <w:r>
        <w:rPr>
          <w:rFonts w:ascii="Times New Roman" w:eastAsia="Times New Roman" w:hAnsi="Times New Roman" w:cs="Times New Roman"/>
          <w:sz w:val="24"/>
          <w:szCs w:val="24"/>
        </w:rPr>
        <w:t>прото</w:t>
      </w:r>
      <w:proofErr w:type="spellEnd"/>
      <w:r>
        <w:rPr>
          <w:rFonts w:ascii="Times New Roman" w:eastAsia="Times New Roman" w:hAnsi="Times New Roman" w:cs="Times New Roman"/>
          <w:sz w:val="24"/>
          <w:szCs w:val="24"/>
        </w:rPr>
        <w:t>-роли на материале других данных.</w:t>
      </w:r>
    </w:p>
    <w:p w:rsidR="00981990" w:rsidRDefault="00981990">
      <w:pPr>
        <w:spacing w:line="240" w:lineRule="auto"/>
        <w:jc w:val="both"/>
        <w:rPr>
          <w:rFonts w:ascii="Times New Roman" w:eastAsia="Times New Roman" w:hAnsi="Times New Roman" w:cs="Times New Roman"/>
          <w:b/>
          <w:sz w:val="24"/>
          <w:szCs w:val="24"/>
        </w:rPr>
      </w:pPr>
    </w:p>
    <w:p w:rsidR="00981990" w:rsidRDefault="00544B7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rsidR="00981990" w:rsidRDefault="00981990">
      <w:pPr>
        <w:spacing w:line="240" w:lineRule="auto"/>
        <w:jc w:val="both"/>
        <w:rPr>
          <w:rFonts w:ascii="Times New Roman" w:eastAsia="Times New Roman" w:hAnsi="Times New Roman" w:cs="Times New Roman"/>
          <w:b/>
          <w:sz w:val="24"/>
          <w:szCs w:val="24"/>
        </w:rPr>
      </w:pPr>
    </w:p>
    <w:p w:rsidR="00981990" w:rsidRDefault="00544B7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Абаев В.И. Грамматический очерк осетинского языка. Орджоникидзе, 1959.</w:t>
      </w:r>
    </w:p>
    <w:p w:rsidR="00981990" w:rsidRPr="00B17274" w:rsidRDefault="00544B7F">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Сердобольская</w:t>
      </w:r>
      <w:proofErr w:type="spellEnd"/>
      <w:r>
        <w:rPr>
          <w:rFonts w:ascii="Times New Roman" w:eastAsia="Times New Roman" w:hAnsi="Times New Roman" w:cs="Times New Roman"/>
          <w:sz w:val="24"/>
          <w:szCs w:val="24"/>
        </w:rPr>
        <w:t xml:space="preserve"> Н.В. Вариативное оформление прямого дополнения в осетинском языке // Малые языки в большой лингвистике. </w:t>
      </w:r>
      <w:r w:rsidRPr="00B17274">
        <w:rPr>
          <w:rFonts w:ascii="Times New Roman" w:eastAsia="Times New Roman" w:hAnsi="Times New Roman" w:cs="Times New Roman"/>
          <w:sz w:val="24"/>
          <w:szCs w:val="24"/>
          <w:lang w:val="en-US"/>
        </w:rPr>
        <w:t>2020.</w:t>
      </w:r>
    </w:p>
    <w:p w:rsidR="00981990" w:rsidRPr="00B17274" w:rsidRDefault="00544B7F">
      <w:pPr>
        <w:spacing w:line="240" w:lineRule="auto"/>
        <w:jc w:val="both"/>
        <w:rPr>
          <w:rFonts w:ascii="Times New Roman" w:eastAsia="Times New Roman" w:hAnsi="Times New Roman" w:cs="Times New Roman"/>
          <w:sz w:val="24"/>
          <w:szCs w:val="24"/>
          <w:lang w:val="en-US"/>
        </w:rPr>
      </w:pPr>
      <w:r w:rsidRPr="00B17274">
        <w:rPr>
          <w:rFonts w:ascii="Times New Roman" w:eastAsia="Times New Roman" w:hAnsi="Times New Roman" w:cs="Times New Roman"/>
          <w:sz w:val="24"/>
          <w:szCs w:val="24"/>
          <w:lang w:val="en-US"/>
        </w:rPr>
        <w:t xml:space="preserve">3. </w:t>
      </w:r>
      <w:proofErr w:type="spellStart"/>
      <w:r w:rsidRPr="00B17274">
        <w:rPr>
          <w:rFonts w:ascii="Times New Roman" w:eastAsia="Times New Roman" w:hAnsi="Times New Roman" w:cs="Times New Roman"/>
          <w:sz w:val="24"/>
          <w:szCs w:val="24"/>
          <w:lang w:val="en-US"/>
        </w:rPr>
        <w:t>Dowty</w:t>
      </w:r>
      <w:proofErr w:type="spellEnd"/>
      <w:r w:rsidRPr="00B17274">
        <w:rPr>
          <w:rFonts w:ascii="Times New Roman" w:eastAsia="Times New Roman" w:hAnsi="Times New Roman" w:cs="Times New Roman"/>
          <w:sz w:val="24"/>
          <w:szCs w:val="24"/>
          <w:lang w:val="en-US"/>
        </w:rPr>
        <w:t xml:space="preserve"> D. Thematic proto-roles and argument selection // Language. 1991. </w:t>
      </w:r>
      <w:r>
        <w:rPr>
          <w:rFonts w:ascii="Times New Roman" w:eastAsia="Times New Roman" w:hAnsi="Times New Roman" w:cs="Times New Roman"/>
          <w:sz w:val="24"/>
          <w:szCs w:val="24"/>
        </w:rPr>
        <w:t>Т</w:t>
      </w:r>
      <w:r w:rsidRPr="00B17274">
        <w:rPr>
          <w:rFonts w:ascii="Times New Roman" w:eastAsia="Times New Roman" w:hAnsi="Times New Roman" w:cs="Times New Roman"/>
          <w:sz w:val="24"/>
          <w:szCs w:val="24"/>
          <w:lang w:val="en-US"/>
        </w:rPr>
        <w:t xml:space="preserve">. 67. № 3. </w:t>
      </w:r>
      <w:r>
        <w:rPr>
          <w:rFonts w:ascii="Times New Roman" w:eastAsia="Times New Roman" w:hAnsi="Times New Roman" w:cs="Times New Roman"/>
          <w:sz w:val="24"/>
          <w:szCs w:val="24"/>
        </w:rPr>
        <w:t>С</w:t>
      </w:r>
      <w:r w:rsidRPr="00B17274">
        <w:rPr>
          <w:rFonts w:ascii="Times New Roman" w:eastAsia="Times New Roman" w:hAnsi="Times New Roman" w:cs="Times New Roman"/>
          <w:sz w:val="24"/>
          <w:szCs w:val="24"/>
          <w:lang w:val="en-US"/>
        </w:rPr>
        <w:t>. 547-619.</w:t>
      </w:r>
    </w:p>
    <w:p w:rsidR="00981990" w:rsidRPr="00AC588B" w:rsidRDefault="00544B7F">
      <w:pPr>
        <w:spacing w:line="240" w:lineRule="auto"/>
        <w:jc w:val="both"/>
        <w:rPr>
          <w:rFonts w:ascii="Times New Roman" w:eastAsia="Times New Roman" w:hAnsi="Times New Roman" w:cs="Times New Roman"/>
          <w:sz w:val="24"/>
          <w:szCs w:val="24"/>
          <w:lang w:val="en-US"/>
        </w:rPr>
      </w:pPr>
      <w:r w:rsidRPr="00B17274">
        <w:rPr>
          <w:rFonts w:ascii="Times New Roman" w:eastAsia="Times New Roman" w:hAnsi="Times New Roman" w:cs="Times New Roman"/>
          <w:sz w:val="24"/>
          <w:szCs w:val="24"/>
          <w:lang w:val="en-US"/>
        </w:rPr>
        <w:t xml:space="preserve">4. </w:t>
      </w:r>
      <w:proofErr w:type="spellStart"/>
      <w:r w:rsidRPr="00B17274">
        <w:rPr>
          <w:rFonts w:ascii="Times New Roman" w:eastAsia="Times New Roman" w:hAnsi="Times New Roman" w:cs="Times New Roman"/>
          <w:color w:val="222222"/>
          <w:sz w:val="24"/>
          <w:szCs w:val="24"/>
          <w:highlight w:val="white"/>
          <w:lang w:val="en-US"/>
        </w:rPr>
        <w:t>Serdobolskaya</w:t>
      </w:r>
      <w:proofErr w:type="spellEnd"/>
      <w:r w:rsidRPr="00B17274">
        <w:rPr>
          <w:rFonts w:ascii="Times New Roman" w:eastAsia="Times New Roman" w:hAnsi="Times New Roman" w:cs="Times New Roman"/>
          <w:color w:val="222222"/>
          <w:sz w:val="24"/>
          <w:szCs w:val="24"/>
          <w:highlight w:val="white"/>
          <w:lang w:val="en-US"/>
        </w:rPr>
        <w:t xml:space="preserve"> N. et al. A Corpus Analysis of Differential Object Marking in </w:t>
      </w:r>
      <w:proofErr w:type="spellStart"/>
      <w:r w:rsidRPr="00B17274">
        <w:rPr>
          <w:rFonts w:ascii="Times New Roman" w:eastAsia="Times New Roman" w:hAnsi="Times New Roman" w:cs="Times New Roman"/>
          <w:color w:val="222222"/>
          <w:sz w:val="24"/>
          <w:szCs w:val="24"/>
          <w:highlight w:val="white"/>
          <w:lang w:val="en-US"/>
        </w:rPr>
        <w:t>Beserman</w:t>
      </w:r>
      <w:proofErr w:type="spellEnd"/>
      <w:r w:rsidRPr="00B17274">
        <w:rPr>
          <w:rFonts w:ascii="Times New Roman" w:eastAsia="Times New Roman" w:hAnsi="Times New Roman" w:cs="Times New Roman"/>
          <w:color w:val="222222"/>
          <w:sz w:val="24"/>
          <w:szCs w:val="24"/>
          <w:highlight w:val="white"/>
          <w:lang w:val="en-US"/>
        </w:rPr>
        <w:t xml:space="preserve"> Udmurt // </w:t>
      </w:r>
      <w:proofErr w:type="spellStart"/>
      <w:r w:rsidRPr="00B17274">
        <w:rPr>
          <w:rFonts w:ascii="Times New Roman" w:eastAsia="Times New Roman" w:hAnsi="Times New Roman" w:cs="Times New Roman"/>
          <w:color w:val="222222"/>
          <w:sz w:val="24"/>
          <w:szCs w:val="24"/>
          <w:highlight w:val="white"/>
          <w:lang w:val="en-US"/>
        </w:rPr>
        <w:t>Linguistica</w:t>
      </w:r>
      <w:proofErr w:type="spellEnd"/>
      <w:r w:rsidRPr="00B17274">
        <w:rPr>
          <w:rFonts w:ascii="Times New Roman" w:eastAsia="Times New Roman" w:hAnsi="Times New Roman" w:cs="Times New Roman"/>
          <w:color w:val="222222"/>
          <w:sz w:val="24"/>
          <w:szCs w:val="24"/>
          <w:highlight w:val="white"/>
          <w:lang w:val="en-US"/>
        </w:rPr>
        <w:t xml:space="preserve"> </w:t>
      </w:r>
      <w:proofErr w:type="spellStart"/>
      <w:r w:rsidRPr="00B17274">
        <w:rPr>
          <w:rFonts w:ascii="Times New Roman" w:eastAsia="Times New Roman" w:hAnsi="Times New Roman" w:cs="Times New Roman"/>
          <w:color w:val="222222"/>
          <w:sz w:val="24"/>
          <w:szCs w:val="24"/>
          <w:highlight w:val="white"/>
          <w:lang w:val="en-US"/>
        </w:rPr>
        <w:t>Uralica</w:t>
      </w:r>
      <w:proofErr w:type="spellEnd"/>
      <w:r w:rsidRPr="00B17274">
        <w:rPr>
          <w:rFonts w:ascii="Times New Roman" w:eastAsia="Times New Roman" w:hAnsi="Times New Roman" w:cs="Times New Roman"/>
          <w:color w:val="222222"/>
          <w:sz w:val="24"/>
          <w:szCs w:val="24"/>
          <w:highlight w:val="white"/>
          <w:lang w:val="en-US"/>
        </w:rPr>
        <w:t xml:space="preserve">. 2020. </w:t>
      </w:r>
      <w:r>
        <w:rPr>
          <w:rFonts w:ascii="Times New Roman" w:eastAsia="Times New Roman" w:hAnsi="Times New Roman" w:cs="Times New Roman"/>
          <w:color w:val="222222"/>
          <w:sz w:val="24"/>
          <w:szCs w:val="24"/>
          <w:highlight w:val="white"/>
        </w:rPr>
        <w:t>Т</w:t>
      </w:r>
      <w:r w:rsidRPr="00AC588B">
        <w:rPr>
          <w:rFonts w:ascii="Times New Roman" w:eastAsia="Times New Roman" w:hAnsi="Times New Roman" w:cs="Times New Roman"/>
          <w:color w:val="222222"/>
          <w:sz w:val="24"/>
          <w:szCs w:val="24"/>
          <w:highlight w:val="white"/>
          <w:lang w:val="en-US"/>
        </w:rPr>
        <w:t xml:space="preserve">. 56. № 4. </w:t>
      </w:r>
      <w:r>
        <w:rPr>
          <w:rFonts w:ascii="Times New Roman" w:eastAsia="Times New Roman" w:hAnsi="Times New Roman" w:cs="Times New Roman"/>
          <w:color w:val="222222"/>
          <w:sz w:val="24"/>
          <w:szCs w:val="24"/>
          <w:highlight w:val="white"/>
        </w:rPr>
        <w:t>С</w:t>
      </w:r>
      <w:r w:rsidRPr="00AC588B">
        <w:rPr>
          <w:rFonts w:ascii="Times New Roman" w:eastAsia="Times New Roman" w:hAnsi="Times New Roman" w:cs="Times New Roman"/>
          <w:color w:val="222222"/>
          <w:sz w:val="24"/>
          <w:szCs w:val="24"/>
          <w:highlight w:val="white"/>
          <w:lang w:val="en-US"/>
        </w:rPr>
        <w:t>. 275-308.</w:t>
      </w:r>
    </w:p>
    <w:p w:rsidR="00981990" w:rsidRPr="00B17274" w:rsidRDefault="00544B7F">
      <w:pPr>
        <w:spacing w:line="240" w:lineRule="auto"/>
        <w:jc w:val="both"/>
        <w:rPr>
          <w:rFonts w:ascii="Times New Roman" w:eastAsia="Times New Roman" w:hAnsi="Times New Roman" w:cs="Times New Roman"/>
          <w:color w:val="353535"/>
          <w:sz w:val="24"/>
          <w:szCs w:val="24"/>
          <w:highlight w:val="white"/>
          <w:lang w:val="en-US"/>
        </w:rPr>
      </w:pPr>
      <w:r w:rsidRPr="00B17274">
        <w:rPr>
          <w:rFonts w:ascii="Times New Roman" w:eastAsia="Times New Roman" w:hAnsi="Times New Roman" w:cs="Times New Roman"/>
          <w:sz w:val="24"/>
          <w:szCs w:val="24"/>
          <w:lang w:val="en-US"/>
        </w:rPr>
        <w:t xml:space="preserve">5. </w:t>
      </w:r>
      <w:proofErr w:type="spellStart"/>
      <w:r w:rsidRPr="00B17274">
        <w:rPr>
          <w:rFonts w:ascii="Times New Roman" w:eastAsia="Times New Roman" w:hAnsi="Times New Roman" w:cs="Times New Roman"/>
          <w:sz w:val="24"/>
          <w:szCs w:val="24"/>
          <w:lang w:val="en-US"/>
        </w:rPr>
        <w:t>Thordarson</w:t>
      </w:r>
      <w:proofErr w:type="spellEnd"/>
      <w:r w:rsidRPr="00B17274">
        <w:rPr>
          <w:rFonts w:ascii="Times New Roman" w:eastAsia="Times New Roman" w:hAnsi="Times New Roman" w:cs="Times New Roman"/>
          <w:sz w:val="24"/>
          <w:szCs w:val="24"/>
          <w:lang w:val="en-US"/>
        </w:rPr>
        <w:t xml:space="preserve"> F. Ossetic grammatical studies. </w:t>
      </w:r>
      <w:proofErr w:type="spellStart"/>
      <w:r w:rsidRPr="00B17274">
        <w:rPr>
          <w:rFonts w:ascii="Times New Roman" w:eastAsia="Times New Roman" w:hAnsi="Times New Roman" w:cs="Times New Roman"/>
          <w:sz w:val="24"/>
          <w:szCs w:val="24"/>
          <w:lang w:val="en-US"/>
        </w:rPr>
        <w:t>Veröffentlichungen</w:t>
      </w:r>
      <w:proofErr w:type="spellEnd"/>
      <w:r w:rsidRPr="00B17274">
        <w:rPr>
          <w:rFonts w:ascii="Times New Roman" w:eastAsia="Times New Roman" w:hAnsi="Times New Roman" w:cs="Times New Roman"/>
          <w:sz w:val="24"/>
          <w:szCs w:val="24"/>
          <w:lang w:val="en-US"/>
        </w:rPr>
        <w:t xml:space="preserve"> </w:t>
      </w:r>
      <w:proofErr w:type="spellStart"/>
      <w:r w:rsidRPr="00B17274">
        <w:rPr>
          <w:rFonts w:ascii="Times New Roman" w:eastAsia="Times New Roman" w:hAnsi="Times New Roman" w:cs="Times New Roman"/>
          <w:sz w:val="24"/>
          <w:szCs w:val="24"/>
          <w:lang w:val="en-US"/>
        </w:rPr>
        <w:t>zur</w:t>
      </w:r>
      <w:proofErr w:type="spellEnd"/>
      <w:r w:rsidRPr="00B17274">
        <w:rPr>
          <w:rFonts w:ascii="Times New Roman" w:eastAsia="Times New Roman" w:hAnsi="Times New Roman" w:cs="Times New Roman"/>
          <w:sz w:val="24"/>
          <w:szCs w:val="24"/>
          <w:lang w:val="en-US"/>
        </w:rPr>
        <w:t xml:space="preserve"> </w:t>
      </w:r>
      <w:proofErr w:type="spellStart"/>
      <w:r w:rsidRPr="00B17274">
        <w:rPr>
          <w:rFonts w:ascii="Times New Roman" w:eastAsia="Times New Roman" w:hAnsi="Times New Roman" w:cs="Times New Roman"/>
          <w:sz w:val="24"/>
          <w:szCs w:val="24"/>
          <w:lang w:val="en-US"/>
        </w:rPr>
        <w:t>Iranistik</w:t>
      </w:r>
      <w:proofErr w:type="spellEnd"/>
      <w:r w:rsidRPr="00B17274">
        <w:rPr>
          <w:rFonts w:ascii="Times New Roman" w:eastAsia="Times New Roman" w:hAnsi="Times New Roman" w:cs="Times New Roman"/>
          <w:sz w:val="24"/>
          <w:szCs w:val="24"/>
          <w:lang w:val="en-US"/>
        </w:rPr>
        <w:t>: Vol. 48. Vienna. 2009.</w:t>
      </w:r>
    </w:p>
    <w:p w:rsidR="00981990" w:rsidRPr="00B17274" w:rsidRDefault="00981990">
      <w:pPr>
        <w:spacing w:line="240" w:lineRule="auto"/>
        <w:rPr>
          <w:rFonts w:ascii="Times New Roman" w:eastAsia="Times New Roman" w:hAnsi="Times New Roman" w:cs="Times New Roman"/>
          <w:sz w:val="24"/>
          <w:szCs w:val="24"/>
          <w:lang w:val="en-US"/>
        </w:rPr>
      </w:pPr>
    </w:p>
    <w:p w:rsidR="00981990" w:rsidRPr="00B17274" w:rsidRDefault="00981990">
      <w:pPr>
        <w:spacing w:line="240" w:lineRule="auto"/>
        <w:jc w:val="center"/>
        <w:rPr>
          <w:rFonts w:ascii="Times New Roman" w:eastAsia="Times New Roman" w:hAnsi="Times New Roman" w:cs="Times New Roman"/>
          <w:i/>
          <w:lang w:val="en-US"/>
        </w:rPr>
      </w:pPr>
    </w:p>
    <w:p w:rsidR="00981990" w:rsidRPr="00B17274" w:rsidRDefault="00981990">
      <w:pPr>
        <w:spacing w:line="240" w:lineRule="auto"/>
        <w:jc w:val="center"/>
        <w:rPr>
          <w:rFonts w:ascii="Times New Roman" w:eastAsia="Times New Roman" w:hAnsi="Times New Roman" w:cs="Times New Roman"/>
          <w:i/>
          <w:lang w:val="en-US"/>
        </w:rPr>
      </w:pPr>
    </w:p>
    <w:p w:rsidR="00981990" w:rsidRPr="00B17274" w:rsidRDefault="00981990">
      <w:pPr>
        <w:spacing w:line="240" w:lineRule="auto"/>
        <w:jc w:val="center"/>
        <w:rPr>
          <w:rFonts w:ascii="Times New Roman" w:eastAsia="Times New Roman" w:hAnsi="Times New Roman" w:cs="Times New Roman"/>
          <w:sz w:val="24"/>
          <w:szCs w:val="24"/>
          <w:lang w:val="en-US"/>
        </w:rPr>
      </w:pPr>
    </w:p>
    <w:sectPr w:rsidR="00981990" w:rsidRPr="00B17274">
      <w:footerReference w:type="default" r:id="rId7"/>
      <w:pgSz w:w="11909" w:h="16834"/>
      <w:pgMar w:top="1133" w:right="1417" w:bottom="113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05" w:rsidRDefault="001B0F05">
      <w:pPr>
        <w:spacing w:line="240" w:lineRule="auto"/>
      </w:pPr>
      <w:r>
        <w:separator/>
      </w:r>
    </w:p>
  </w:endnote>
  <w:endnote w:type="continuationSeparator" w:id="0">
    <w:p w:rsidR="001B0F05" w:rsidRDefault="001B0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90" w:rsidRDefault="009819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05" w:rsidRDefault="001B0F05">
      <w:pPr>
        <w:spacing w:line="240" w:lineRule="auto"/>
      </w:pPr>
      <w:r>
        <w:separator/>
      </w:r>
    </w:p>
  </w:footnote>
  <w:footnote w:type="continuationSeparator" w:id="0">
    <w:p w:rsidR="001B0F05" w:rsidRDefault="001B0F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90"/>
    <w:rsid w:val="0019645C"/>
    <w:rsid w:val="001B0F05"/>
    <w:rsid w:val="00544B7F"/>
    <w:rsid w:val="00981990"/>
    <w:rsid w:val="00AC588B"/>
    <w:rsid w:val="00B17274"/>
    <w:rsid w:val="00BC4C37"/>
    <w:rsid w:val="00F5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A08A"/>
  <w15:docId w15:val="{34096EC7-5AD5-43C3-9B01-AAFAACD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dc:creator>
  <cp:lastModifiedBy>TIKHON</cp:lastModifiedBy>
  <cp:revision>2</cp:revision>
  <dcterms:created xsi:type="dcterms:W3CDTF">2024-02-29T19:21:00Z</dcterms:created>
  <dcterms:modified xsi:type="dcterms:W3CDTF">2024-02-29T19:21:00Z</dcterms:modified>
</cp:coreProperties>
</file>