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D7A8D" w:rsidRDefault="00000000">
      <w:pPr>
        <w:jc w:val="center"/>
        <w:rPr>
          <w:i/>
        </w:rPr>
      </w:pPr>
      <w:r>
        <w:rPr>
          <w:b/>
        </w:rPr>
        <w:t>Исследование гибридных фотокатализаторов на основе макроциклических хромофоров и двумерных углеродных матриц</w:t>
      </w:r>
    </w:p>
    <w:p w14:paraId="00000002" w14:textId="77777777" w:rsidR="001D7A8D" w:rsidRDefault="00000000">
      <w:pPr>
        <w:jc w:val="center"/>
        <w:rPr>
          <w:b/>
        </w:rPr>
      </w:pPr>
      <w:r>
        <w:rPr>
          <w:b/>
        </w:rPr>
        <w:t>Горшкова А.И.</w:t>
      </w:r>
      <w:r>
        <w:rPr>
          <w:b/>
          <w:vertAlign w:val="superscript"/>
        </w:rPr>
        <w:t>1</w:t>
      </w:r>
      <w:r>
        <w:rPr>
          <w:b/>
        </w:rPr>
        <w:t>, Нугманова А.Г.</w:t>
      </w:r>
      <w:r>
        <w:rPr>
          <w:b/>
          <w:vertAlign w:val="superscript"/>
        </w:rPr>
        <w:t xml:space="preserve"> 2</w:t>
      </w:r>
      <w:r>
        <w:rPr>
          <w:b/>
        </w:rPr>
        <w:t>, Калинина М.А.</w:t>
      </w:r>
      <w:r>
        <w:rPr>
          <w:b/>
          <w:vertAlign w:val="superscript"/>
        </w:rPr>
        <w:t xml:space="preserve"> 2</w:t>
      </w:r>
      <w:r>
        <w:rPr>
          <w:b/>
        </w:rPr>
        <w:t xml:space="preserve"> </w:t>
      </w:r>
    </w:p>
    <w:p w14:paraId="00000003" w14:textId="77777777" w:rsidR="001D7A8D" w:rsidRDefault="00000000">
      <w:pPr>
        <w:jc w:val="center"/>
        <w:rPr>
          <w:i/>
        </w:rPr>
      </w:pPr>
      <w:r>
        <w:rPr>
          <w:i/>
        </w:rPr>
        <w:t>Студентка,6 курс специалитета</w:t>
      </w:r>
    </w:p>
    <w:p w14:paraId="00000004" w14:textId="77777777" w:rsidR="001D7A8D" w:rsidRDefault="00000000">
      <w:pPr>
        <w:jc w:val="center"/>
        <w:rPr>
          <w:i/>
        </w:rPr>
      </w:pPr>
      <w:r>
        <w:rPr>
          <w:i/>
          <w:vertAlign w:val="superscript"/>
        </w:rPr>
        <w:t>1</w:t>
      </w:r>
      <w:r>
        <w:rPr>
          <w:i/>
        </w:rPr>
        <w:t>Московский государственный университет имени М.В. Ломоносова, фундаментальной физико-химической инженерии факультет, Москва, Россия</w:t>
      </w:r>
    </w:p>
    <w:p w14:paraId="00000005" w14:textId="77777777" w:rsidR="001D7A8D" w:rsidRDefault="00000000">
      <w:pPr>
        <w:jc w:val="center"/>
        <w:rPr>
          <w:sz w:val="28"/>
          <w:szCs w:val="28"/>
        </w:rPr>
      </w:pPr>
      <w:r>
        <w:rPr>
          <w:i/>
          <w:vertAlign w:val="superscript"/>
        </w:rPr>
        <w:t>2</w:t>
      </w:r>
      <w:r>
        <w:rPr>
          <w:i/>
        </w:rPr>
        <w:t xml:space="preserve"> ИФХЭ РАН, Россия 119071, г. Москва, Ленинский проспект, д.31, корп. 4; </w:t>
      </w:r>
    </w:p>
    <w:p w14:paraId="00000006" w14:textId="77777777" w:rsidR="001D7A8D" w:rsidRPr="00A403A6" w:rsidRDefault="00000000">
      <w:pPr>
        <w:jc w:val="center"/>
        <w:rPr>
          <w:i/>
          <w:lang w:val="de-DE"/>
        </w:rPr>
      </w:pPr>
      <w:r w:rsidRPr="00A403A6">
        <w:rPr>
          <w:i/>
          <w:lang w:val="de-DE"/>
        </w:rPr>
        <w:t xml:space="preserve">E-mail: </w:t>
      </w:r>
      <w:hyperlink r:id="rId6">
        <w:r w:rsidRPr="00A403A6">
          <w:rPr>
            <w:i/>
            <w:color w:val="0000FF"/>
            <w:u w:val="single"/>
            <w:lang w:val="de-DE"/>
          </w:rPr>
          <w:t>anhen.gor@mail.ru</w:t>
        </w:r>
      </w:hyperlink>
    </w:p>
    <w:p w14:paraId="00000007" w14:textId="77777777" w:rsidR="001D7A8D" w:rsidRDefault="00000000">
      <w:pPr>
        <w:ind w:firstLine="284"/>
        <w:jc w:val="both"/>
      </w:pPr>
      <w:r>
        <w:t xml:space="preserve">В связи с ухудшением состояния окружающей среды перед современной химической промышленностью стоят задачи по снижению энерго- и </w:t>
      </w:r>
      <w:proofErr w:type="spellStart"/>
      <w:r>
        <w:t>ресурсозатрат</w:t>
      </w:r>
      <w:proofErr w:type="spellEnd"/>
      <w:r>
        <w:t>, а также поиску подходов безопасной и эффективной утилизации токсичных отходов производства.</w:t>
      </w:r>
    </w:p>
    <w:p w14:paraId="00000008" w14:textId="0A3C9853" w:rsidR="001D7A8D" w:rsidRPr="003A7444" w:rsidRDefault="00000000">
      <w:pPr>
        <w:ind w:firstLine="284"/>
        <w:jc w:val="both"/>
      </w:pPr>
      <w:r>
        <w:t xml:space="preserve">Гетерогенный фотокатализ является ключевым направлением для решения данных задач, так, в качестве источника энергии используется солнечный свет. Разработка материалов для эффективной конверсии солнечного света в химическую работу является актуальной задачей современной химической науки. Ранее было показано, что </w:t>
      </w:r>
      <w:proofErr w:type="spellStart"/>
      <w:r>
        <w:t>нековалентная</w:t>
      </w:r>
      <w:proofErr w:type="spellEnd"/>
      <w:r>
        <w:t xml:space="preserve"> сборка гибридных систем на основе ОГ и макроциклических хромофоров является универсальной методикой для получения новых мультифункциональных и эффективных фотокатализаторов [</w:t>
      </w:r>
      <w:r w:rsidR="00B56837" w:rsidRPr="00B56837">
        <w:t>1,</w:t>
      </w:r>
      <w:r w:rsidR="003D668A" w:rsidRPr="003D668A">
        <w:t>2</w:t>
      </w:r>
      <w:r>
        <w:t xml:space="preserve">]. </w:t>
      </w:r>
    </w:p>
    <w:p w14:paraId="00000009" w14:textId="77777777" w:rsidR="001D7A8D" w:rsidRDefault="00000000">
      <w:pPr>
        <w:ind w:firstLine="284"/>
        <w:jc w:val="both"/>
      </w:pPr>
      <w:r>
        <w:t xml:space="preserve">В данной работе представлен новый подход по применению гибридных систем на основе ОГ и нитрида углерода, обладающего собственной фотокаталитической активностью. Благодаря способности ОГ стабилизировать эмульсии </w:t>
      </w:r>
      <w:proofErr w:type="spellStart"/>
      <w:r>
        <w:t>Пикернгабыли</w:t>
      </w:r>
      <w:proofErr w:type="spellEnd"/>
      <w:r>
        <w:t xml:space="preserve"> получены гибридные </w:t>
      </w:r>
      <w:proofErr w:type="spellStart"/>
      <w:r>
        <w:t>фотокаталитические</w:t>
      </w:r>
      <w:proofErr w:type="spellEnd"/>
      <w:r>
        <w:t xml:space="preserve"> системы на основе ОГ и нитрида углерода, способные одновременно обесцвечивать органические водо- и маслорастворимые красители в эмульсиях Пикеринга. </w:t>
      </w:r>
    </w:p>
    <w:p w14:paraId="0000000A" w14:textId="77777777" w:rsidR="001D7A8D" w:rsidRDefault="00000000">
      <w:pPr>
        <w:ind w:firstLine="708"/>
        <w:jc w:val="both"/>
      </w:pPr>
      <w:r>
        <w:t xml:space="preserve">Данные оптической и флуоресцентной микроскопии и полученные при измерении </w:t>
      </w:r>
      <w:proofErr w:type="spellStart"/>
      <w:r>
        <w:t>седиментационной</w:t>
      </w:r>
      <w:proofErr w:type="spellEnd"/>
      <w:r>
        <w:t xml:space="preserve"> устойчивости, позволили определить оптимальные условия и соотношение ОГ/C</w:t>
      </w:r>
      <w:r>
        <w:rPr>
          <w:vertAlign w:val="subscript"/>
        </w:rPr>
        <w:t>3</w:t>
      </w:r>
      <w:r>
        <w:t>N</w:t>
      </w:r>
      <w:r>
        <w:rPr>
          <w:vertAlign w:val="subscript"/>
        </w:rPr>
        <w:t xml:space="preserve">4 </w:t>
      </w:r>
      <w:r>
        <w:t xml:space="preserve">для формирования стабильных эмульсий Пикеринга. С помощью флуоресцентной микроскопии было доказано, что добавление ацетата </w:t>
      </w:r>
      <w:proofErr w:type="gramStart"/>
      <w:r>
        <w:t>цинка(</w:t>
      </w:r>
      <w:proofErr w:type="gramEnd"/>
      <w:r>
        <w:t xml:space="preserve">II) способствует стабилизации эмульсий нитридом углерода. Анализ данных спектральных и кинетических исследований показал, что смешанные эмульсии проявляют фотокаталитическую активность в реакциях разложения ряда модельных субстратов, таких как </w:t>
      </w:r>
      <w:proofErr w:type="spellStart"/>
      <w:r>
        <w:t>флуоресцеин</w:t>
      </w:r>
      <w:proofErr w:type="spellEnd"/>
      <w:r>
        <w:t xml:space="preserve">, </w:t>
      </w:r>
      <w:proofErr w:type="spellStart"/>
      <w:r>
        <w:t>судан</w:t>
      </w:r>
      <w:proofErr w:type="spellEnd"/>
      <w:r>
        <w:t xml:space="preserve"> 4 и 1,5-дигидроксинафталин, при облучении видимым светом. Было показано на примере </w:t>
      </w:r>
      <w:proofErr w:type="spellStart"/>
      <w:r>
        <w:t>судана</w:t>
      </w:r>
      <w:proofErr w:type="spellEnd"/>
      <w:r>
        <w:t xml:space="preserve"> 4, что при изменении неполярной фазы (хлороформ/гексан) в эмульсии скорость фотокаталитической реакции возрастает.</w:t>
      </w:r>
    </w:p>
    <w:p w14:paraId="0000000B" w14:textId="77777777" w:rsidR="001D7A8D" w:rsidRDefault="00000000">
      <w:pPr>
        <w:ind w:firstLine="709"/>
        <w:jc w:val="both"/>
      </w:pPr>
      <w:r>
        <w:t>Полученные результаты подтверждают принципиальную возможность проведения фотокатализа в смешанных эмульсиях Пикеринга, что открывает возможность для разработки новых технологий очистки окружающей среды и синтеза материалов.</w:t>
      </w:r>
    </w:p>
    <w:p w14:paraId="0000000C" w14:textId="77777777" w:rsidR="001D7A8D" w:rsidRDefault="00000000">
      <w:pPr>
        <w:ind w:firstLine="284"/>
      </w:pPr>
      <w:r>
        <w:tab/>
        <w:t>Работа выполнена при финансовой поддержке Российского научного фонда, проект № 23-73-00095.</w:t>
      </w:r>
    </w:p>
    <w:p w14:paraId="0000000D" w14:textId="77777777" w:rsidR="001D7A8D" w:rsidRDefault="001D7A8D">
      <w:pPr>
        <w:ind w:firstLine="708"/>
        <w:jc w:val="both"/>
        <w:rPr>
          <w:b/>
        </w:rPr>
      </w:pPr>
    </w:p>
    <w:p w14:paraId="0000000E" w14:textId="77777777" w:rsidR="001D7A8D" w:rsidRDefault="00000000">
      <w:pPr>
        <w:jc w:val="both"/>
        <w:rPr>
          <w:b/>
          <w:lang w:val="en-GB"/>
        </w:rPr>
      </w:pPr>
      <w:r>
        <w:rPr>
          <w:b/>
        </w:rPr>
        <w:t>Литература</w:t>
      </w:r>
    </w:p>
    <w:p w14:paraId="6D359074" w14:textId="0680D4C1" w:rsidR="003A7444" w:rsidRPr="003A7444" w:rsidRDefault="003A7444" w:rsidP="003A7444">
      <w:pPr>
        <w:pStyle w:val="a5"/>
        <w:numPr>
          <w:ilvl w:val="0"/>
          <w:numId w:val="1"/>
        </w:numPr>
        <w:jc w:val="both"/>
        <w:rPr>
          <w:color w:val="222222"/>
          <w:shd w:val="clear" w:color="auto" w:fill="FFFFFF"/>
          <w:lang w:val="en-US"/>
        </w:rPr>
      </w:pPr>
      <w:proofErr w:type="spellStart"/>
      <w:r w:rsidRPr="003A7444">
        <w:rPr>
          <w:color w:val="222222"/>
          <w:shd w:val="clear" w:color="auto" w:fill="FFFFFF"/>
          <w:lang w:val="en-US"/>
        </w:rPr>
        <w:t>Nugmanova</w:t>
      </w:r>
      <w:proofErr w:type="spellEnd"/>
      <w:r w:rsidRPr="003A7444">
        <w:rPr>
          <w:color w:val="222222"/>
          <w:shd w:val="clear" w:color="auto" w:fill="FFFFFF"/>
          <w:lang w:val="en-US"/>
        </w:rPr>
        <w:t xml:space="preserve"> A. G. et al.</w:t>
      </w:r>
      <w:r>
        <w:rPr>
          <w:color w:val="222222"/>
          <w:shd w:val="clear" w:color="auto" w:fill="FFFFFF"/>
          <w:lang w:val="en-US"/>
        </w:rPr>
        <w:t xml:space="preserve"> </w:t>
      </w:r>
      <w:r w:rsidRPr="003A7444">
        <w:rPr>
          <w:color w:val="222222"/>
          <w:shd w:val="clear" w:color="auto" w:fill="FFFFFF"/>
          <w:lang w:val="en-US"/>
        </w:rPr>
        <w:t xml:space="preserve">//Applied Surface Science. – 2022. – </w:t>
      </w:r>
      <w:r w:rsidRPr="003A7444">
        <w:rPr>
          <w:color w:val="222222"/>
          <w:shd w:val="clear" w:color="auto" w:fill="FFFFFF"/>
        </w:rPr>
        <w:t>Т</w:t>
      </w:r>
      <w:r w:rsidRPr="003A7444">
        <w:rPr>
          <w:color w:val="222222"/>
          <w:shd w:val="clear" w:color="auto" w:fill="FFFFFF"/>
          <w:lang w:val="en-US"/>
        </w:rPr>
        <w:t xml:space="preserve">. 579. – </w:t>
      </w:r>
      <w:r w:rsidRPr="003A7444">
        <w:rPr>
          <w:color w:val="222222"/>
          <w:shd w:val="clear" w:color="auto" w:fill="FFFFFF"/>
        </w:rPr>
        <w:t>С</w:t>
      </w:r>
      <w:r w:rsidRPr="003A7444">
        <w:rPr>
          <w:color w:val="222222"/>
          <w:shd w:val="clear" w:color="auto" w:fill="FFFFFF"/>
          <w:lang w:val="en-US"/>
        </w:rPr>
        <w:t>. 152080</w:t>
      </w:r>
      <w:r w:rsidRPr="003A7444">
        <w:rPr>
          <w:i/>
          <w:lang w:val="en-US"/>
        </w:rPr>
        <w:t xml:space="preserve"> </w:t>
      </w:r>
    </w:p>
    <w:p w14:paraId="78BA1B67" w14:textId="6CB75576" w:rsidR="00B3346C" w:rsidRPr="003A7444" w:rsidRDefault="00B3346C" w:rsidP="003A7444">
      <w:pPr>
        <w:pStyle w:val="a5"/>
        <w:numPr>
          <w:ilvl w:val="0"/>
          <w:numId w:val="1"/>
        </w:numPr>
        <w:jc w:val="both"/>
        <w:rPr>
          <w:i/>
          <w:lang w:val="en-US"/>
        </w:rPr>
      </w:pPr>
      <w:proofErr w:type="spellStart"/>
      <w:r w:rsidRPr="003A7444">
        <w:rPr>
          <w:i/>
          <w:lang w:val="en-US"/>
        </w:rPr>
        <w:t>Nugmanova</w:t>
      </w:r>
      <w:proofErr w:type="spellEnd"/>
      <w:r w:rsidRPr="003A7444">
        <w:rPr>
          <w:i/>
          <w:lang w:val="en-US"/>
        </w:rPr>
        <w:t xml:space="preserve"> A. G., Kalinina M. A. //Colloid Journal. 2021. V. 83 (5) P. 614-626.</w:t>
      </w:r>
    </w:p>
    <w:p w14:paraId="0000000F" w14:textId="77777777" w:rsidR="001D7A8D" w:rsidRPr="00B3346C" w:rsidRDefault="001D7A8D">
      <w:pPr>
        <w:tabs>
          <w:tab w:val="left" w:pos="284"/>
        </w:tabs>
        <w:jc w:val="both"/>
        <w:rPr>
          <w:i/>
          <w:lang w:val="en-US"/>
        </w:rPr>
      </w:pPr>
    </w:p>
    <w:p w14:paraId="00000010" w14:textId="77777777" w:rsidR="001D7A8D" w:rsidRPr="00B56837" w:rsidRDefault="001D7A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GB"/>
        </w:rPr>
      </w:pPr>
    </w:p>
    <w:sectPr w:rsidR="001D7A8D" w:rsidRPr="00B5683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F383D"/>
    <w:multiLevelType w:val="hybridMultilevel"/>
    <w:tmpl w:val="99B2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8D"/>
    <w:rsid w:val="00067E4D"/>
    <w:rsid w:val="001D7A8D"/>
    <w:rsid w:val="003A7444"/>
    <w:rsid w:val="003D668A"/>
    <w:rsid w:val="004C3F9B"/>
    <w:rsid w:val="00A403A6"/>
    <w:rsid w:val="00B3346C"/>
    <w:rsid w:val="00B56837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A4667"/>
  <w15:docId w15:val="{EFFC399C-0FB4-2F43-9C0F-11957BE5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334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46C"/>
    <w:rPr>
      <w:b/>
      <w:sz w:val="48"/>
      <w:szCs w:val="48"/>
    </w:rPr>
  </w:style>
  <w:style w:type="character" w:customStyle="1" w:styleId="apple-converted-space">
    <w:name w:val="apple-converted-space"/>
    <w:basedOn w:val="a0"/>
    <w:rsid w:val="00FE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hen.go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5CE920B-0B62-994D-A920-0F0C6B18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Горшкова</cp:lastModifiedBy>
  <cp:revision>11</cp:revision>
  <dcterms:created xsi:type="dcterms:W3CDTF">2025-02-27T09:10:00Z</dcterms:created>
  <dcterms:modified xsi:type="dcterms:W3CDTF">2025-02-27T10:38:00Z</dcterms:modified>
</cp:coreProperties>
</file>