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B39D" w14:textId="35EE4805" w:rsidR="00404710" w:rsidRPr="00D20233" w:rsidRDefault="00404710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23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20233" w:rsidRPr="00D20233">
        <w:rPr>
          <w:rFonts w:ascii="Times New Roman" w:hAnsi="Times New Roman" w:cs="Times New Roman"/>
          <w:b/>
          <w:bCs/>
          <w:sz w:val="24"/>
          <w:szCs w:val="24"/>
        </w:rPr>
        <w:t>оотношение</w:t>
      </w:r>
      <w:r w:rsidRPr="00D20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233" w:rsidRPr="00D20233">
        <w:rPr>
          <w:rFonts w:ascii="Times New Roman" w:hAnsi="Times New Roman" w:cs="Times New Roman"/>
          <w:b/>
          <w:bCs/>
          <w:sz w:val="24"/>
          <w:szCs w:val="24"/>
        </w:rPr>
        <w:t>активностей ферментов</w:t>
      </w:r>
      <w:r w:rsidRPr="00D20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233" w:rsidRPr="00D20233">
        <w:rPr>
          <w:rFonts w:ascii="Times New Roman" w:hAnsi="Times New Roman" w:cs="Times New Roman"/>
          <w:b/>
          <w:bCs/>
          <w:sz w:val="24"/>
          <w:szCs w:val="24"/>
        </w:rPr>
        <w:t>пируваткиназы и гексокиназы в диагностике дефицита пируваткиназы</w:t>
      </w:r>
    </w:p>
    <w:p w14:paraId="69DCCAE7" w14:textId="7E4B40F2" w:rsidR="00404710" w:rsidRPr="00014672" w:rsidRDefault="00404710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D20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Крюкова А</w:t>
      </w:r>
      <w:r w:rsidR="00D20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.В.</w:t>
      </w:r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Долгих И.А.</w:t>
      </w:r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Колева</w:t>
      </w:r>
      <w:proofErr w:type="spellEnd"/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Л.Д.</w:t>
      </w:r>
      <w:r w:rsidR="0001467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518448DA" w14:textId="07ACD3C6" w:rsidR="00D20233" w:rsidRPr="00D20233" w:rsidRDefault="00D20233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D40F87" w:rsidRPr="0001467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 курса специалитета</w:t>
      </w:r>
    </w:p>
    <w:p w14:paraId="00BAB493" w14:textId="60792EEC" w:rsidR="00321A20" w:rsidRPr="00D20233" w:rsidRDefault="00014672" w:rsidP="00D40F87">
      <w:pPr>
        <w:pStyle w:val="Default"/>
        <w:ind w:firstLine="397"/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 w:rsidR="00404710" w:rsidRPr="00D20233">
        <w:rPr>
          <w:i/>
          <w:iCs/>
        </w:rPr>
        <w:t>Московский государственный университет имени М.В. Ломоносова</w:t>
      </w:r>
    </w:p>
    <w:p w14:paraId="5660EFA3" w14:textId="28078CF6" w:rsidR="00404710" w:rsidRDefault="00D20233" w:rsidP="00D40F87">
      <w:pPr>
        <w:pStyle w:val="Default"/>
        <w:ind w:firstLine="397"/>
        <w:jc w:val="center"/>
        <w:rPr>
          <w:i/>
          <w:iCs/>
        </w:rPr>
      </w:pPr>
      <w:r>
        <w:rPr>
          <w:i/>
          <w:iCs/>
        </w:rPr>
        <w:t>ф</w:t>
      </w:r>
      <w:r w:rsidR="00404710" w:rsidRPr="00D20233">
        <w:rPr>
          <w:i/>
          <w:iCs/>
        </w:rPr>
        <w:t>акультет фундаментальной физико-химической инженерии</w:t>
      </w:r>
      <w:r>
        <w:rPr>
          <w:i/>
          <w:iCs/>
        </w:rPr>
        <w:t>, Москва, Россия</w:t>
      </w:r>
    </w:p>
    <w:p w14:paraId="44B77563" w14:textId="17E7B7F0" w:rsidR="00014672" w:rsidRPr="00014672" w:rsidRDefault="00014672" w:rsidP="00D40F87">
      <w:pPr>
        <w:pStyle w:val="Default"/>
        <w:ind w:firstLine="397"/>
        <w:jc w:val="center"/>
      </w:pPr>
      <w:r>
        <w:rPr>
          <w:i/>
          <w:iCs/>
          <w:vertAlign w:val="superscript"/>
        </w:rPr>
        <w:t>2</w:t>
      </w:r>
      <w:r>
        <w:rPr>
          <w:i/>
          <w:iCs/>
        </w:rPr>
        <w:t>НМИЦ детской гематологии, онкологии и иммунологии им. Дмитрия Рогачева, лаборатория биофизики, Москва, Россия</w:t>
      </w:r>
    </w:p>
    <w:p w14:paraId="5B447D1B" w14:textId="6470CBCB" w:rsidR="00DC6C71" w:rsidRPr="00D20233" w:rsidRDefault="00D20233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2023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404710" w:rsidRPr="00D20233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="00404710" w:rsidRPr="00D20233">
        <w:rPr>
          <w:rFonts w:ascii="Times New Roman" w:hAnsi="Times New Roman" w:cs="Times New Roman"/>
          <w:i/>
          <w:iCs/>
          <w:sz w:val="24"/>
          <w:szCs w:val="24"/>
        </w:rPr>
        <w:t>: shkryukova@gmail.com</w:t>
      </w:r>
    </w:p>
    <w:p w14:paraId="6FFF74D5" w14:textId="46763887" w:rsidR="00DC6C71" w:rsidRPr="00404710" w:rsidRDefault="008D2918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В настоящее время диагностика </w:t>
      </w:r>
      <w:r w:rsidR="00831654">
        <w:rPr>
          <w:rFonts w:ascii="Times New Roman" w:eastAsia="Carlito" w:hAnsi="Times New Roman" w:cs="Times New Roman"/>
          <w:sz w:val="24"/>
          <w:szCs w:val="24"/>
        </w:rPr>
        <w:t xml:space="preserve">дефицита </w:t>
      </w:r>
      <w:r w:rsidR="00EA4EB3">
        <w:rPr>
          <w:rFonts w:ascii="Times New Roman" w:eastAsia="Carlito" w:hAnsi="Times New Roman" w:cs="Times New Roman"/>
          <w:sz w:val="24"/>
          <w:szCs w:val="24"/>
        </w:rPr>
        <w:t>пируваткиназы (</w:t>
      </w:r>
      <w:r w:rsidRPr="00404710">
        <w:rPr>
          <w:rFonts w:ascii="Times New Roman" w:eastAsia="Carlito" w:hAnsi="Times New Roman" w:cs="Times New Roman"/>
          <w:sz w:val="24"/>
          <w:szCs w:val="24"/>
        </w:rPr>
        <w:t>ПК</w:t>
      </w:r>
      <w:r w:rsidR="00EA4EB3">
        <w:rPr>
          <w:rFonts w:ascii="Times New Roman" w:eastAsia="Carlito" w:hAnsi="Times New Roman" w:cs="Times New Roman"/>
          <w:sz w:val="24"/>
          <w:szCs w:val="24"/>
        </w:rPr>
        <w:t>)</w:t>
      </w:r>
      <w:r w:rsidR="00B86507">
        <w:rPr>
          <w:rFonts w:ascii="Times New Roman" w:eastAsia="Carlito" w:hAnsi="Times New Roman" w:cs="Times New Roman"/>
          <w:sz w:val="24"/>
          <w:szCs w:val="24"/>
        </w:rPr>
        <w:t>, являющегося одной из причин гемолитической анемии,</w:t>
      </w: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 осуществляется с </w:t>
      </w:r>
      <w:r w:rsidR="00322B61">
        <w:rPr>
          <w:rFonts w:ascii="Times New Roman" w:eastAsia="Carlito" w:hAnsi="Times New Roman" w:cs="Times New Roman"/>
          <w:sz w:val="24"/>
          <w:szCs w:val="24"/>
        </w:rPr>
        <w:t xml:space="preserve">помощью генетического анализа и </w:t>
      </w:r>
      <w:r w:rsidRPr="00404710">
        <w:rPr>
          <w:rFonts w:ascii="Times New Roman" w:eastAsia="Carlito" w:hAnsi="Times New Roman" w:cs="Times New Roman"/>
          <w:sz w:val="24"/>
          <w:szCs w:val="24"/>
        </w:rPr>
        <w:t>измерения активности фермента</w:t>
      </w:r>
      <w:r w:rsidR="00EA4EB3">
        <w:rPr>
          <w:rFonts w:ascii="Times New Roman" w:eastAsia="Carlito" w:hAnsi="Times New Roman" w:cs="Times New Roman"/>
          <w:sz w:val="24"/>
          <w:szCs w:val="24"/>
        </w:rPr>
        <w:t xml:space="preserve">. 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>Б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ыло показано</w:t>
      </w:r>
      <w:r w:rsidR="00E2060D" w:rsidRP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</w:t>
      </w:r>
      <w:r w:rsidR="00E2060D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[</w:t>
      </w:r>
      <w:r w:rsidR="007F5FFE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1],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что активность ферментов в 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ретикулоцитах 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значительно выше таковой в зрелых эритроцитах, поэтому высокое содержание ретикулоцитов в крови, которое характерно для пациентов с анемиями, может 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>приводить к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ложноотрицательн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ому 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результат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>у</w:t>
      </w:r>
      <w:r w:rsidR="00B86507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измерения активности ПК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. В связи с этим было предложено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</w:t>
      </w:r>
      <w:r w:rsidR="00322B61" w:rsidRPr="00322B61">
        <w:rPr>
          <w:rFonts w:ascii="Times New Roman" w:eastAsia="Carlito" w:hAnsi="Times New Roman" w:cs="Times New Roman"/>
          <w:color w:val="1A1A1A"/>
          <w:sz w:val="24"/>
          <w:szCs w:val="24"/>
        </w:rPr>
        <w:t>[</w:t>
      </w:r>
      <w:r w:rsidR="007F5FFE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2</w:t>
      </w:r>
      <w:r w:rsidR="00322B61" w:rsidRPr="00322B61">
        <w:rPr>
          <w:rFonts w:ascii="Times New Roman" w:eastAsia="Carlito" w:hAnsi="Times New Roman" w:cs="Times New Roman"/>
          <w:color w:val="1A1A1A"/>
          <w:sz w:val="24"/>
          <w:szCs w:val="24"/>
        </w:rPr>
        <w:t>,</w:t>
      </w:r>
      <w:r w:rsidR="007F5FFE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3</w:t>
      </w:r>
      <w:r w:rsidR="00322B61" w:rsidRPr="00322B61">
        <w:rPr>
          <w:rFonts w:ascii="Times New Roman" w:eastAsia="Carlito" w:hAnsi="Times New Roman" w:cs="Times New Roman"/>
          <w:color w:val="1A1A1A"/>
          <w:sz w:val="24"/>
          <w:szCs w:val="24"/>
        </w:rPr>
        <w:t>]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нормировать измеряемую активность ПК на активность 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гексокиназы (ГК), другого </w:t>
      </w:r>
      <w:r w:rsidR="00B86507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гликолитического 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фермента 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эритроцит</w:t>
      </w:r>
      <w:r w:rsidR="00B86507">
        <w:rPr>
          <w:rFonts w:ascii="Times New Roman" w:eastAsia="Carlito" w:hAnsi="Times New Roman" w:cs="Times New Roman"/>
          <w:color w:val="1A1A1A"/>
          <w:sz w:val="24"/>
          <w:szCs w:val="24"/>
        </w:rPr>
        <w:t>ов</w:t>
      </w:r>
      <w:r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, которая также зависит от возраста клеток, тем самым устраняя влияние </w:t>
      </w:r>
      <w:proofErr w:type="spellStart"/>
      <w:r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>ретикулоцитоза</w:t>
      </w:r>
      <w:proofErr w:type="spellEnd"/>
      <w:r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на результи</w:t>
      </w:r>
      <w:r w:rsidR="00322B61">
        <w:rPr>
          <w:rFonts w:ascii="Times New Roman" w:eastAsia="Carlito" w:hAnsi="Times New Roman" w:cs="Times New Roman"/>
          <w:color w:val="1A1A1A"/>
          <w:sz w:val="24"/>
          <w:szCs w:val="24"/>
        </w:rPr>
        <w:t>рующую активность ПК в крови. В</w:t>
      </w:r>
      <w:r w:rsidR="00322B61" w:rsidRPr="00322B61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</w:t>
      </w:r>
      <w:r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>исследованиях</w:t>
      </w:r>
      <w:r w:rsidR="004674BF"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[</w:t>
      </w:r>
      <w:r w:rsidR="007F5FFE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2</w:t>
      </w:r>
      <w:r w:rsidR="004674BF"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>,</w:t>
      </w:r>
      <w:r w:rsidR="007F5FFE" w:rsidRPr="007F5FFE">
        <w:rPr>
          <w:rFonts w:ascii="Times New Roman" w:eastAsia="Carlito" w:hAnsi="Times New Roman" w:cs="Times New Roman"/>
          <w:color w:val="1A1A1A"/>
          <w:sz w:val="24"/>
          <w:szCs w:val="24"/>
        </w:rPr>
        <w:t>3</w:t>
      </w:r>
      <w:r w:rsidR="004674BF"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>]</w:t>
      </w:r>
      <w:r w:rsidRPr="00A05875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была показана более высокая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чувствительност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ь соотношения </w:t>
      </w:r>
      <w:r w:rsidR="00EA4EB3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активностей </w:t>
      </w:r>
      <w:proofErr w:type="gramStart"/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>ПК</w:t>
      </w:r>
      <w:r w:rsidR="00E2060D" w:rsidRPr="00E2060D">
        <w:rPr>
          <w:rFonts w:ascii="Times New Roman" w:eastAsia="Carlito" w:hAnsi="Times New Roman" w:cs="Times New Roman"/>
          <w:color w:val="1A1A1A"/>
          <w:sz w:val="24"/>
          <w:szCs w:val="24"/>
        </w:rPr>
        <w:t>: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>ГК</w:t>
      </w:r>
      <w:proofErr w:type="gramEnd"/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в д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иагностик</w:t>
      </w:r>
      <w:r w:rsidR="00E2060D">
        <w:rPr>
          <w:rFonts w:ascii="Times New Roman" w:eastAsia="Carlito" w:hAnsi="Times New Roman" w:cs="Times New Roman"/>
          <w:color w:val="1A1A1A"/>
          <w:sz w:val="24"/>
          <w:szCs w:val="24"/>
        </w:rPr>
        <w:t>е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 </w:t>
      </w:r>
      <w:r w:rsidR="00831654">
        <w:rPr>
          <w:rFonts w:ascii="Times New Roman" w:eastAsia="Carlito" w:hAnsi="Times New Roman" w:cs="Times New Roman"/>
          <w:color w:val="1A1A1A"/>
          <w:sz w:val="24"/>
          <w:szCs w:val="24"/>
        </w:rPr>
        <w:t xml:space="preserve">дефицита </w:t>
      </w:r>
      <w:r w:rsidRPr="00404710">
        <w:rPr>
          <w:rFonts w:ascii="Times New Roman" w:eastAsia="Carlito" w:hAnsi="Times New Roman" w:cs="Times New Roman"/>
          <w:color w:val="1A1A1A"/>
          <w:sz w:val="24"/>
          <w:szCs w:val="24"/>
        </w:rPr>
        <w:t>ПК, в сравнении с измерением активности ПК в крови</w:t>
      </w: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,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>однако в данных исследов</w:t>
      </w:r>
      <w:r w:rsidR="00322B61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>аниях не были учтены пациенты с</w:t>
      </w:r>
      <w:r w:rsidR="00322B61" w:rsidRPr="00322B61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>другими гемолитическими анемиями, которые часто поп</w:t>
      </w:r>
      <w:r w:rsidR="00322B61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>адают на анализ активности ПК в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  <w:highlight w:val="white"/>
        </w:rPr>
        <w:t>виду схожей клинической картины</w:t>
      </w:r>
      <w:r w:rsidR="00EA4EB3">
        <w:rPr>
          <w:rFonts w:ascii="Times New Roman" w:eastAsia="Carlito" w:hAnsi="Times New Roman" w:cs="Times New Roman"/>
          <w:color w:val="000000"/>
          <w:sz w:val="24"/>
          <w:szCs w:val="24"/>
        </w:rPr>
        <w:t>.</w:t>
      </w:r>
    </w:p>
    <w:p w14:paraId="3632132E" w14:textId="39C2B1DC" w:rsidR="00DC6C71" w:rsidRPr="00404710" w:rsidRDefault="008D2918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4710">
        <w:rPr>
          <w:rFonts w:ascii="Times New Roman" w:eastAsia="Carlito" w:hAnsi="Times New Roman" w:cs="Times New Roman"/>
          <w:sz w:val="24"/>
          <w:szCs w:val="24"/>
        </w:rPr>
        <w:t>Целью настоящего исследования являлось сравнение чувствительности и специфичности активности ПК</w:t>
      </w:r>
      <w:r w:rsidR="006C103D">
        <w:rPr>
          <w:rFonts w:ascii="Times New Roman" w:eastAsia="Carlito" w:hAnsi="Times New Roman" w:cs="Times New Roman"/>
          <w:sz w:val="24"/>
          <w:szCs w:val="24"/>
        </w:rPr>
        <w:t xml:space="preserve"> в крови пациентов</w:t>
      </w: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 и соотношения </w:t>
      </w:r>
      <w:proofErr w:type="gramStart"/>
      <w:r w:rsidR="00E2060D">
        <w:rPr>
          <w:rFonts w:ascii="Times New Roman" w:eastAsia="Carlito" w:hAnsi="Times New Roman" w:cs="Times New Roman"/>
          <w:sz w:val="24"/>
          <w:szCs w:val="24"/>
        </w:rPr>
        <w:t>ПК:ГК</w:t>
      </w:r>
      <w:proofErr w:type="gramEnd"/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 пациентов </w:t>
      </w:r>
      <w:r w:rsidR="00E2060D">
        <w:rPr>
          <w:rFonts w:ascii="Times New Roman" w:eastAsia="Carlito" w:hAnsi="Times New Roman" w:cs="Times New Roman"/>
          <w:sz w:val="24"/>
          <w:szCs w:val="24"/>
        </w:rPr>
        <w:t xml:space="preserve">в диагностике </w:t>
      </w:r>
      <w:r w:rsidR="00831654">
        <w:rPr>
          <w:rFonts w:ascii="Times New Roman" w:eastAsia="Carlito" w:hAnsi="Times New Roman" w:cs="Times New Roman"/>
          <w:sz w:val="24"/>
          <w:szCs w:val="24"/>
        </w:rPr>
        <w:t>дефицит</w:t>
      </w:r>
      <w:r w:rsidR="00E2060D">
        <w:rPr>
          <w:rFonts w:ascii="Times New Roman" w:eastAsia="Carlito" w:hAnsi="Times New Roman" w:cs="Times New Roman"/>
          <w:sz w:val="24"/>
          <w:szCs w:val="24"/>
        </w:rPr>
        <w:t>а</w:t>
      </w:r>
      <w:r w:rsidR="00831654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sz w:val="24"/>
          <w:szCs w:val="24"/>
        </w:rPr>
        <w:t>ПК в сравнении с пациентами с другими типами анемий, чего ранее не было показано.</w:t>
      </w:r>
    </w:p>
    <w:p w14:paraId="3B13BB6A" w14:textId="14EA2BC7" w:rsidR="00E52F53" w:rsidRPr="0001230C" w:rsidRDefault="004665E6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97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В данной работе была измерена активность ПК и ГК в крови 23 пациентов с дефицитом ПК, 12 пациентов с другими типами анемий и 8 здоровых доноров и рассчитано соотношение </w:t>
      </w:r>
      <w:proofErr w:type="gramStart"/>
      <w:r w:rsidRPr="00404710">
        <w:rPr>
          <w:rFonts w:ascii="Times New Roman" w:eastAsia="Carlito" w:hAnsi="Times New Roman" w:cs="Times New Roman"/>
          <w:sz w:val="24"/>
          <w:szCs w:val="24"/>
        </w:rPr>
        <w:t>ПК:ГК</w:t>
      </w:r>
      <w:proofErr w:type="gramEnd"/>
      <w:r>
        <w:rPr>
          <w:rFonts w:ascii="Times New Roman" w:eastAsia="Carlito" w:hAnsi="Times New Roman" w:cs="Times New Roman"/>
          <w:sz w:val="24"/>
          <w:szCs w:val="24"/>
        </w:rPr>
        <w:t xml:space="preserve">. </w:t>
      </w: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Было показано, что в сравнении с другими типами анемий чувствительность и специфичность соотношения </w:t>
      </w:r>
      <w:proofErr w:type="gramStart"/>
      <w:r w:rsidRPr="00404710">
        <w:rPr>
          <w:rFonts w:ascii="Times New Roman" w:eastAsia="Carlito" w:hAnsi="Times New Roman" w:cs="Times New Roman"/>
          <w:sz w:val="24"/>
          <w:szCs w:val="24"/>
        </w:rPr>
        <w:t>ПК:ГК</w:t>
      </w:r>
      <w:proofErr w:type="gramEnd"/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 ниже, чем при измерении активности ПК. 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При пороговом значении 9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>.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6 ЕД/г</w:t>
      </w:r>
      <w:r w:rsidRPr="00321A2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Hb</w:t>
      </w:r>
      <w:proofErr w:type="spellEnd"/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чувствительность и специфичность активности ПК составили 100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% и 90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%, соответственно</w:t>
      </w:r>
      <w:r w:rsidRPr="00404710">
        <w:rPr>
          <w:rFonts w:ascii="Times New Roman" w:eastAsia="Carlito" w:hAnsi="Times New Roman" w:cs="Times New Roman"/>
          <w:sz w:val="24"/>
          <w:szCs w:val="24"/>
        </w:rPr>
        <w:t xml:space="preserve">. В свою очередь, 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при пороговом значении 10 соотношения </w:t>
      </w:r>
      <w:proofErr w:type="gramStart"/>
      <w:r>
        <w:rPr>
          <w:rFonts w:ascii="Times New Roman" w:eastAsia="Carlito" w:hAnsi="Times New Roman" w:cs="Times New Roman"/>
          <w:color w:val="000000"/>
          <w:sz w:val="24"/>
          <w:szCs w:val="24"/>
        </w:rPr>
        <w:t>ПК:ГК</w:t>
      </w:r>
      <w:proofErr w:type="gramEnd"/>
      <w:r>
        <w:rPr>
          <w:rFonts w:ascii="Times New Roman" w:eastAsia="Carlito" w:hAnsi="Times New Roman" w:cs="Times New Roman"/>
          <w:color w:val="000000"/>
          <w:sz w:val="24"/>
          <w:szCs w:val="24"/>
        </w:rPr>
        <w:t>,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чувствительность и специфичность соотношения составили 91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% и 75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%, соответственно</w:t>
      </w:r>
      <w:r w:rsidRPr="00404710">
        <w:rPr>
          <w:rFonts w:ascii="Times New Roman" w:eastAsia="Carlito" w:hAnsi="Times New Roman" w:cs="Times New Roman"/>
          <w:sz w:val="24"/>
          <w:szCs w:val="24"/>
        </w:rPr>
        <w:t>.</w:t>
      </w:r>
      <w:r w:rsidR="008D2918"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ab/>
      </w:r>
    </w:p>
    <w:p w14:paraId="3B3CE6F7" w14:textId="5919EFB7" w:rsidR="00695A10" w:rsidRPr="00F54C12" w:rsidRDefault="00695A10" w:rsidP="00695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97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Таким образом, 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для дифференциальной диагностики дефицита ПК и других типов гемолитических анемий,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соотношение </w:t>
      </w:r>
      <w:proofErr w:type="gramStart"/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ПК:ГК</w:t>
      </w:r>
      <w:proofErr w:type="gramEnd"/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>оказывается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менее специфичным и чувствительным, чем активность ПК в эритроцитах, ввиду того, что при других 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типах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гемолитических анеми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й 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активность ПК мо</w:t>
      </w:r>
      <w:r w:rsidR="00481B49">
        <w:rPr>
          <w:rFonts w:ascii="Times New Roman" w:eastAsia="Carlito" w:hAnsi="Times New Roman" w:cs="Times New Roman"/>
          <w:color w:val="000000"/>
          <w:sz w:val="24"/>
          <w:szCs w:val="24"/>
        </w:rPr>
        <w:t>жет быть незначительно снижена, при этом</w:t>
      </w:r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у таких пациентов часто наблюдается </w:t>
      </w:r>
      <w:proofErr w:type="spellStart"/>
      <w:r w:rsidRPr="00404710">
        <w:rPr>
          <w:rFonts w:ascii="Times New Roman" w:eastAsia="Carlito" w:hAnsi="Times New Roman" w:cs="Times New Roman"/>
          <w:color w:val="000000"/>
          <w:sz w:val="24"/>
          <w:szCs w:val="24"/>
        </w:rPr>
        <w:t>ретикулоцитоз</w:t>
      </w:r>
      <w:proofErr w:type="spellEnd"/>
      <w:r w:rsidRPr="00EA076D">
        <w:rPr>
          <w:rFonts w:ascii="Times New Roman" w:eastAsia="Carlito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следовательно, повышенная активность ГК. Нами также была показана прямая зависимость </w:t>
      </w:r>
      <w:r w:rsidRPr="00831654">
        <w:rPr>
          <w:rFonts w:ascii="Times New Roman" w:eastAsia="Carlito" w:hAnsi="Times New Roman" w:cs="Times New Roman"/>
          <w:color w:val="000000"/>
          <w:sz w:val="24"/>
          <w:szCs w:val="24"/>
        </w:rPr>
        <w:t>активност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>и</w:t>
      </w:r>
      <w:r w:rsidRPr="00831654"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ГК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 xml:space="preserve"> </w:t>
      </w:r>
      <w:r w:rsidRPr="00831654">
        <w:rPr>
          <w:rFonts w:ascii="Times New Roman" w:eastAsia="Carlito" w:hAnsi="Times New Roman" w:cs="Times New Roman"/>
          <w:color w:val="000000"/>
          <w:sz w:val="24"/>
          <w:szCs w:val="24"/>
        </w:rPr>
        <w:t>от количества ретикулоцитов в крови для этих групп пациентов.</w:t>
      </w:r>
    </w:p>
    <w:p w14:paraId="5B500551" w14:textId="4AED1973" w:rsidR="004674BF" w:rsidRPr="004665E6" w:rsidRDefault="004674BF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0C2F4359" w14:textId="76C58BA7" w:rsidR="00C671F8" w:rsidRPr="0001230C" w:rsidRDefault="0001230C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4665E6"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Lakomek</w:t>
      </w:r>
      <w:proofErr w:type="spellEnd"/>
      <w:r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</w:t>
      </w:r>
      <w:r w:rsidR="009F5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0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et</w:t>
      </w:r>
      <w:r w:rsidR="00D40F87"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0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al</w:t>
      </w:r>
      <w:r w:rsidR="00D40F87"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4665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2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On the diagnosis of erythrocyte enzyme defects in the presence of 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igh reticulocyte counts</w:t>
      </w:r>
      <w:r w:rsidR="00025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//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Br J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Haematol</w:t>
      </w:r>
      <w:proofErr w:type="spellEnd"/>
      <w:r w:rsidR="00632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 1989. Vol.</w:t>
      </w:r>
      <w:r w:rsidR="006320AB" w:rsidRPr="00012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632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72. P.</w:t>
      </w:r>
      <w:r w:rsidRPr="00012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445-451. </w:t>
      </w:r>
    </w:p>
    <w:p w14:paraId="3AD226B6" w14:textId="138B8294" w:rsidR="006320AB" w:rsidRDefault="0001230C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0123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</w:t>
      </w:r>
      <w:r w:rsidR="00E14A2E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ö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</w:t>
      </w:r>
      <w:proofErr w:type="spellEnd"/>
      <w:r w:rsidR="00E14A2E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V</w:t>
      </w:r>
      <w:r w:rsidR="00E14A2E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et</w:t>
      </w:r>
      <w:r w:rsidR="002E6899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al</w:t>
      </w:r>
      <w:r w:rsidR="002E6899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="00E14A2E" w:rsidRPr="000123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Pyruvate kinase deficiency in 29 Turkish patients with two novel intronic variants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//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Br J </w:t>
      </w:r>
      <w:proofErr w:type="spellStart"/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Haematol</w:t>
      </w:r>
      <w:proofErr w:type="spellEnd"/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 2024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Vol. 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205(1)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P. </w:t>
      </w:r>
      <w:r w:rsidR="00E14A2E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236-242. </w:t>
      </w:r>
    </w:p>
    <w:p w14:paraId="3709E7BA" w14:textId="2B209ECD" w:rsidR="000252CD" w:rsidRPr="006320AB" w:rsidRDefault="0001230C" w:rsidP="00D40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0123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4674BF" w:rsidRPr="002E68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F527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Al-</w:t>
      </w:r>
      <w:proofErr w:type="spellStart"/>
      <w:r w:rsidR="009F527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Samkari</w:t>
      </w:r>
      <w:proofErr w:type="spellEnd"/>
      <w:r w:rsidR="009F527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H,</w:t>
      </w:r>
      <w:r w:rsidR="009F5278" w:rsidRPr="00474CE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et al. The pyruvate kinase (PK) to hexokinase enzyme activity ratio and erythrocyte PK protein level in the diagnosis and phenotype of PK deficiency // Br J </w:t>
      </w:r>
      <w:proofErr w:type="spellStart"/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Haematol</w:t>
      </w:r>
      <w:proofErr w:type="spellEnd"/>
      <w:r w:rsidR="002E6899" w:rsidRPr="002E68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 2021. Vol. 192(6). P. 1092-1096.</w:t>
      </w:r>
    </w:p>
    <w:sectPr w:rsidR="000252CD" w:rsidRPr="006320AB" w:rsidSect="00D40F8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7D94" w14:textId="77777777" w:rsidR="008822BB" w:rsidRDefault="008822BB">
      <w:pPr>
        <w:spacing w:after="0" w:line="240" w:lineRule="auto"/>
      </w:pPr>
      <w:r>
        <w:separator/>
      </w:r>
    </w:p>
  </w:endnote>
  <w:endnote w:type="continuationSeparator" w:id="0">
    <w:p w14:paraId="1B82BD13" w14:textId="77777777" w:rsidR="008822BB" w:rsidRDefault="008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E94E" w14:textId="77777777" w:rsidR="008822BB" w:rsidRDefault="008822BB">
      <w:pPr>
        <w:spacing w:after="0" w:line="240" w:lineRule="auto"/>
      </w:pPr>
      <w:r>
        <w:separator/>
      </w:r>
    </w:p>
  </w:footnote>
  <w:footnote w:type="continuationSeparator" w:id="0">
    <w:p w14:paraId="149B6D0E" w14:textId="77777777" w:rsidR="008822BB" w:rsidRDefault="00882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71"/>
    <w:rsid w:val="0001230C"/>
    <w:rsid w:val="00014672"/>
    <w:rsid w:val="000252CD"/>
    <w:rsid w:val="000839A4"/>
    <w:rsid w:val="000B0227"/>
    <w:rsid w:val="001E3EE2"/>
    <w:rsid w:val="002E6899"/>
    <w:rsid w:val="00321A20"/>
    <w:rsid w:val="00322B61"/>
    <w:rsid w:val="00404710"/>
    <w:rsid w:val="004665E6"/>
    <w:rsid w:val="004674BF"/>
    <w:rsid w:val="00474CEC"/>
    <w:rsid w:val="00481B49"/>
    <w:rsid w:val="004A155A"/>
    <w:rsid w:val="004B0708"/>
    <w:rsid w:val="005A51CD"/>
    <w:rsid w:val="006320AB"/>
    <w:rsid w:val="00695A10"/>
    <w:rsid w:val="006A42B7"/>
    <w:rsid w:val="006C103D"/>
    <w:rsid w:val="006F2D0F"/>
    <w:rsid w:val="00712178"/>
    <w:rsid w:val="007C2436"/>
    <w:rsid w:val="007F5FFE"/>
    <w:rsid w:val="00831654"/>
    <w:rsid w:val="008822BB"/>
    <w:rsid w:val="008D2918"/>
    <w:rsid w:val="009F5278"/>
    <w:rsid w:val="00A05875"/>
    <w:rsid w:val="00A40922"/>
    <w:rsid w:val="00B86507"/>
    <w:rsid w:val="00C671F8"/>
    <w:rsid w:val="00C7282C"/>
    <w:rsid w:val="00D20233"/>
    <w:rsid w:val="00D40F87"/>
    <w:rsid w:val="00D413AF"/>
    <w:rsid w:val="00DC6C71"/>
    <w:rsid w:val="00E10175"/>
    <w:rsid w:val="00E14A2E"/>
    <w:rsid w:val="00E2060D"/>
    <w:rsid w:val="00E52F53"/>
    <w:rsid w:val="00EA076D"/>
    <w:rsid w:val="00EA4EB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BFB9"/>
  <w15:docId w15:val="{356A7701-E924-4E68-8BF7-17E604E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404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 Kryukova</dc:creator>
  <cp:lastModifiedBy>Sasha Kryukova</cp:lastModifiedBy>
  <cp:revision>2</cp:revision>
  <dcterms:created xsi:type="dcterms:W3CDTF">2025-03-03T16:44:00Z</dcterms:created>
  <dcterms:modified xsi:type="dcterms:W3CDTF">2025-03-03T16:44:00Z</dcterms:modified>
</cp:coreProperties>
</file>