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6F90" w14:textId="77777777" w:rsidR="00916352" w:rsidRDefault="003C1B06" w:rsidP="0063758B">
      <w:pPr>
        <w:pStyle w:val="11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Проблемы биржевого признания доходов компаний, занимающихся онлайн- играми</w:t>
      </w:r>
    </w:p>
    <w:p w14:paraId="48386F91" w14:textId="77777777" w:rsidR="00916352" w:rsidRDefault="003C1B06">
      <w:pPr>
        <w:ind w:firstLineChars="200" w:firstLine="482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Чжан И</w:t>
      </w:r>
    </w:p>
    <w:p w14:paraId="48386F92" w14:textId="77777777" w:rsidR="00916352" w:rsidRDefault="003C1B06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Студент (магистр)</w:t>
      </w:r>
    </w:p>
    <w:p w14:paraId="48386F93" w14:textId="77777777" w:rsidR="00916352" w:rsidRDefault="003C1B06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48386F94" w14:textId="77777777" w:rsidR="00916352" w:rsidRDefault="003C1B06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val="ru-RU"/>
        </w:rPr>
        <w:t>Институт русского языка и культуры, Москва, Россия</w:t>
      </w:r>
    </w:p>
    <w:p w14:paraId="48386F95" w14:textId="77777777" w:rsidR="00916352" w:rsidRDefault="003C1B06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ru-RU"/>
          </w:rPr>
          <w:t>740012633@</w:t>
        </w:r>
        <w:proofErr w:type="spellStart"/>
        <w:r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qq</w:t>
        </w:r>
        <w:proofErr w:type="spellEnd"/>
        <w:r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com</w:t>
        </w:r>
      </w:hyperlink>
    </w:p>
    <w:p w14:paraId="48386F96" w14:textId="77777777" w:rsidR="00916352" w:rsidRDefault="00916352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8386F97" w14:textId="77777777" w:rsidR="00916352" w:rsidRDefault="003C1B06">
      <w:pPr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Китай – это страна, в которой стремительно растет цифровой сектор услуг, индустрия развлечений, тесно связанная с игровым рынком. В 2023 г. доля Китая в мировой индустрии онлайн-игр составляла 23,4% [1]. Согласно международному рейтингу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Newzoo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Китай занял второе место по выручке ведущих игровых компаний после крупнейшего игрового рынка США [1 см. таблицу]. </w:t>
      </w:r>
    </w:p>
    <w:p w14:paraId="48386F98" w14:textId="77777777" w:rsidR="00916352" w:rsidRDefault="003C1B06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386FA3" wp14:editId="4047CDA0">
            <wp:extent cx="5286702" cy="2257425"/>
            <wp:effectExtent l="0" t="0" r="9525" b="0"/>
            <wp:docPr id="1" name="图片 1" descr="https://leonardo.osnova.io/c5903c05-c0f3-59d5-8271-a4a3ee6c5a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8646" cy="225825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48386F99" w14:textId="77777777" w:rsidR="00916352" w:rsidRDefault="003C1B06">
      <w:pPr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Китайская игровая индустрия включает в качестве одного из направлений сектор онлайн-игр.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онлайн-игр в Китае уверенно растет. В 2023 году общее число геймеров в стране составило 668 миллионов, из них около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550 миллионов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игроки онлайн-игр [2]. По данным Китайской ассоциации аудиовизуальных и цифровых издательств, в 2023 году фактическая выручка от продаж на внутреннем игровом рынке Китая достигла 302,964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млрд.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юаней (43,280 млрд. долл. США), увеличившись на 13,95% в годовом исчислении, и впервые превысила отметку в 300 млрд юаней [3].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выручка от зарубежных продаж самостоятельно разработанных продуктов (игры, которые независимо разрабатываются компаниями-разработчиками игр или частными лицами и обладают независи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мыми правами интеллектуальной собственности) составила 16,366 млрд. долл. США, а их объем четыре года подряд превышал 100 миллиардов юаней [3]. Ожидается, что к 2024 году игровой рынок достигнет 272,86 млрд долларов и продолжит расти до 426,02 млрд долларов к 2029 году. </w:t>
      </w:r>
    </w:p>
    <w:p w14:paraId="48386F9A" w14:textId="77777777" w:rsidR="00916352" w:rsidRDefault="003C1B06">
      <w:pPr>
        <w:pStyle w:val="main-articletext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 xml:space="preserve">Абсолютным лидером рынка онлайн-игр в Китае является технологический гигант </w:t>
      </w:r>
      <w:proofErr w:type="spellStart"/>
      <w:r>
        <w:rPr>
          <w:color w:val="000000"/>
        </w:rPr>
        <w:t>Tencent</w:t>
      </w:r>
      <w:proofErr w:type="spellEnd"/>
      <w:r>
        <w:rPr>
          <w:color w:val="000000"/>
        </w:rPr>
        <w:t xml:space="preserve">, за ним следуют </w:t>
      </w:r>
      <w:proofErr w:type="spellStart"/>
      <w:r>
        <w:rPr>
          <w:color w:val="000000"/>
        </w:rPr>
        <w:t>NetEase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Bilibili</w:t>
      </w:r>
      <w:proofErr w:type="spellEnd"/>
      <w:r>
        <w:rPr>
          <w:color w:val="000000"/>
        </w:rPr>
        <w:t xml:space="preserve"> и т.д. Мобильные игры – один из важных источников прибыли </w:t>
      </w:r>
      <w:proofErr w:type="spellStart"/>
      <w:r>
        <w:rPr>
          <w:color w:val="000000"/>
        </w:rPr>
        <w:t>Tencent</w:t>
      </w:r>
      <w:proofErr w:type="spellEnd"/>
      <w:r>
        <w:rPr>
          <w:color w:val="000000"/>
        </w:rPr>
        <w:t xml:space="preserve">, обеспечивший почти 30 процентов </w:t>
      </w:r>
      <w:hyperlink r:id="rId8" w:history="1">
        <w:r>
          <w:rPr>
            <w:rStyle w:val="a3"/>
            <w:color w:val="000000"/>
            <w:u w:val="none"/>
          </w:rPr>
          <w:t>годового дохода</w:t>
        </w:r>
      </w:hyperlink>
      <w:r>
        <w:rPr>
          <w:color w:val="000000"/>
        </w:rPr>
        <w:t xml:space="preserve"> (555 миллиардов юаней) компании в 2022 году [2].</w:t>
      </w:r>
    </w:p>
    <w:p w14:paraId="48386F9B" w14:textId="5669EAD3" w:rsidR="00916352" w:rsidRDefault="003C1B06">
      <w:pPr>
        <w:ind w:firstLine="39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Стремительное развитие индустрии онлайн-игр привело к появлению новых видов транзакций. Большинство операций компаний, занимающихся онлайн-играми, основаны на использовании Интернета. Траектори</w:t>
      </w:r>
      <w:r w:rsidR="004E4B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записи о транзакциях пользователей представлены на электронных носителях, а объектами транзакций в основном являются виртуальные товары (в основном карты с игровыми очками и реквизит), что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существенно отличается от предыдущих традиционных методов продаж компаний, занимающихся торговлей или предоставляющих услуги через офлайн-каналы.</w:t>
      </w:r>
    </w:p>
    <w:p w14:paraId="48386F9C" w14:textId="77777777" w:rsidR="00916352" w:rsidRDefault="003C1B06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Рентабельность индустрии онлайн-игр очень высокая. Но, к сожалению, для этой новой развивающейся отрасли стандарты бухгалтерского учета еще не сформулированы концептуально и не изданы специальные практические рекомендации по работе предприятий в индустрии онлайн-игр, в частности по оформлению продажи виртуальной валюты компаниями, производящими онлайн-игры, по особым методам ведения операций. Это, во-первых, заставляет бухгалтеров ссылаться только на базовые стандарты признания дохода и личный опыт при подт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верждении этой части дохода. Во-вторых, такая ситуация делает методы признания или определения дохода на разных предприятиях неоднородными, что серьезно влияет на сопоставимость бухгалтерской информации. В результате это может привести к тому, что учет доходов не будет соответствовать законодательству, создаст массу проблем для стандартов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 доходов.</w:t>
      </w:r>
    </w:p>
    <w:p w14:paraId="48386F9D" w14:textId="77777777" w:rsidR="00916352" w:rsidRDefault="00916352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</w:p>
    <w:p w14:paraId="48386F9E" w14:textId="77777777" w:rsidR="00916352" w:rsidRDefault="003C1B06">
      <w:pPr>
        <w:ind w:left="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48386F9F" w14:textId="77777777" w:rsidR="00916352" w:rsidRDefault="003C1B06">
      <w:pPr>
        <w:pStyle w:val="ListParagraph328c8782-504a-4e10-b973-38299f7b6ea2"/>
        <w:numPr>
          <w:ilvl w:val="0"/>
          <w:numId w:val="1"/>
        </w:numPr>
        <w:tabs>
          <w:tab w:val="left" w:pos="0"/>
        </w:tabs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dtf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>/1277526-</w:t>
      </w:r>
      <w:proofErr w:type="spellStart"/>
      <w:r>
        <w:rPr>
          <w:rFonts w:ascii="Times New Roman" w:hAnsi="Times New Roman" w:cs="Times New Roman"/>
          <w:sz w:val="24"/>
          <w:szCs w:val="24"/>
        </w:rPr>
        <w:t>asia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pacific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marketing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kitae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/2266899-</w:t>
      </w:r>
      <w:proofErr w:type="spellStart"/>
      <w:r>
        <w:rPr>
          <w:rFonts w:ascii="Times New Roman" w:hAnsi="Times New Roman" w:cs="Times New Roman"/>
          <w:sz w:val="24"/>
          <w:szCs w:val="24"/>
        </w:rPr>
        <w:t>igrovoi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rynok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kitaya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osobennosti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regulirovaniya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prodvizheniya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perspektivy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dlya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razmesheniya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igr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ru-RU"/>
        </w:rPr>
        <w:t>-2023-</w:t>
      </w:r>
      <w:proofErr w:type="spellStart"/>
      <w:r>
        <w:rPr>
          <w:rFonts w:ascii="Times New Roman" w:hAnsi="Times New Roman" w:cs="Times New Roman"/>
          <w:sz w:val="24"/>
          <w:szCs w:val="24"/>
        </w:rPr>
        <w:t>godu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[Дата обращения: 06.03.2025].</w:t>
      </w:r>
    </w:p>
    <w:p w14:paraId="48386FA0" w14:textId="77777777" w:rsidR="00916352" w:rsidRDefault="003C1B06">
      <w:pPr>
        <w:pStyle w:val="ListParagraph328c8782-504a-4e10-b973-38299f7b6ea2"/>
        <w:numPr>
          <w:ilvl w:val="0"/>
          <w:numId w:val="1"/>
        </w:numPr>
        <w:tabs>
          <w:tab w:val="left" w:pos="0"/>
        </w:tabs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https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mates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china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com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blog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mobilnyj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gejming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t>[Дата обращения: 07.03.2025].</w:t>
      </w:r>
    </w:p>
    <w:p w14:paraId="48386FA1" w14:textId="77777777" w:rsidR="00916352" w:rsidRDefault="003C1B06">
      <w:pPr>
        <w:pStyle w:val="ListParagraph328c8782-504a-4e10-b973-38299f7b6ea2"/>
        <w:numPr>
          <w:ilvl w:val="0"/>
          <w:numId w:val="1"/>
        </w:numPr>
        <w:tabs>
          <w:tab w:val="left" w:pos="0"/>
        </w:tabs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https://www.cgigc.com.cn/details.html?id=08dc70a3-deb3-4af9-8043-8b92d80fff2c&amp;tp=report [Дата обращения: 07.03.2025].</w:t>
      </w:r>
    </w:p>
    <w:p w14:paraId="48386FA2" w14:textId="77777777" w:rsidR="00916352" w:rsidRDefault="00916352">
      <w:pPr>
        <w:pStyle w:val="11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16352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roman"/>
    <w:pitch w:val="variable"/>
  </w:font>
  <w:font w:name="SimHei">
    <w:altName w:val="黑体"/>
    <w:panose1 w:val="02010600030101010101"/>
    <w:charset w:val="86"/>
    <w:family w:val="modern"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C4497"/>
    <w:multiLevelType w:val="hybridMultilevel"/>
    <w:tmpl w:val="3A3ECCA6"/>
    <w:lvl w:ilvl="0" w:tplc="F332673A">
      <w:start w:val="1"/>
      <w:numFmt w:val="decimal"/>
      <w:lvlRestart w:val="0"/>
      <w:lvlText w:val="%1."/>
      <w:lvlJc w:val="left"/>
      <w:pPr>
        <w:tabs>
          <w:tab w:val="num" w:pos="0"/>
        </w:tabs>
        <w:ind w:left="1117" w:hanging="360"/>
      </w:pPr>
    </w:lvl>
    <w:lvl w:ilvl="1" w:tplc="94ACF74A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 w:tplc="8B2C8FA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 w:tplc="B90A4612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 w:tplc="8FF2A3AC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 w:tplc="7376EE24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 w:tplc="9850AFA2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 w:tplc="8F147F10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 w:tplc="0354066E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num w:numId="1" w16cid:durableId="73073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352"/>
    <w:rsid w:val="003C1B06"/>
    <w:rsid w:val="004E4B46"/>
    <w:rsid w:val="00627A7A"/>
    <w:rsid w:val="0063758B"/>
    <w:rsid w:val="00916352"/>
    <w:rsid w:val="00DC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6F90"/>
  <w15:docId w15:val="{CF7AC502-215F-4F47-9D4B-7E1E627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hAnsi="DengXian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</w:style>
  <w:style w:type="paragraph" w:customStyle="1" w:styleId="20">
    <w:name w:val="样式2"/>
    <w:basedOn w:val="a"/>
  </w:style>
  <w:style w:type="character" w:styleId="a3">
    <w:name w:val="Hyperlink"/>
    <w:basedOn w:val="a0"/>
    <w:rPr>
      <w:color w:val="0000FF"/>
      <w:u w:val="single"/>
    </w:rPr>
  </w:style>
  <w:style w:type="paragraph" w:customStyle="1" w:styleId="ListParagraph328c8782-504a-4e10-b973-38299f7b6ea2">
    <w:name w:val="List Paragraph_328c8782-504a-4e10-b973-38299f7b6ea2"/>
    <w:basedOn w:val="a"/>
    <w:pPr>
      <w:ind w:left="720"/>
      <w:contextualSpacing/>
    </w:p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main-articletext">
    <w:name w:val="main-article__text"/>
    <w:basedOn w:val="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11">
    <w:name w:val="Абзац списка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statistics/1175228/china-top-grossing-game-ap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ista.com/statistics/870620/china-number-of-game-us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.mail.ru/compose?To=740012633@qq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Смирнов</cp:lastModifiedBy>
  <cp:revision>4</cp:revision>
  <dcterms:created xsi:type="dcterms:W3CDTF">2025-05-17T11:38:00Z</dcterms:created>
  <dcterms:modified xsi:type="dcterms:W3CDTF">2025-05-17T11:42:00Z</dcterms:modified>
</cp:coreProperties>
</file>