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package/2006/relationships/metadata/thumbnail" Target="docProps/thumbnail.jpeg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spacing w:after="0"/>
        <w:ind w:firstLine="397"/>
        <w:jc w:val="center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Влияние мобильности рабочей силы на развитие сельских районов</w:t>
      </w:r>
    </w:p>
    <w:p>
      <w:pPr>
        <w:spacing w:after="0"/>
        <w:ind w:firstLine="397"/>
        <w:jc w:val="center"/>
        <w:rPr>
          <w:rFonts w:ascii="Times New Roman" w:cs="Times New Roman" w:hAnsi="Times New Roman"/>
          <w:b/>
          <w:i/>
          <w:sz w:val="24"/>
          <w:szCs w:val="24"/>
        </w:rPr>
      </w:pPr>
      <w:r>
        <w:rPr>
          <w:rFonts w:ascii="Times New Roman" w:cs="Times New Roman" w:hAnsi="Times New Roman"/>
          <w:b/>
          <w:i/>
          <w:sz w:val="24"/>
          <w:szCs w:val="24"/>
        </w:rPr>
        <w:t>Чжан Байюй</w:t>
      </w:r>
    </w:p>
    <w:p>
      <w:pPr>
        <w:spacing w:after="0"/>
        <w:ind w:firstLine="397"/>
        <w:jc w:val="center"/>
        <w:rPr>
          <w:rFonts w:ascii="Times New Roman" w:cs="Times New Roman" w:hAnsi="Times New Roman"/>
          <w:i/>
          <w:sz w:val="24"/>
          <w:szCs w:val="24"/>
        </w:rPr>
      </w:pPr>
      <w:r>
        <w:rPr>
          <w:rFonts w:ascii="Times New Roman" w:cs="Times New Roman" w:hAnsi="Times New Roman"/>
          <w:i/>
          <w:sz w:val="24"/>
          <w:szCs w:val="24"/>
        </w:rPr>
        <w:t>Студент (магистр)</w:t>
      </w:r>
    </w:p>
    <w:p>
      <w:pPr>
        <w:spacing w:after="0"/>
        <w:ind w:firstLine="397"/>
        <w:jc w:val="center"/>
        <w:rPr>
          <w:rFonts w:ascii="Times New Roman" w:cs="Times New Roman" w:hAnsi="Times New Roman"/>
          <w:i/>
          <w:sz w:val="24"/>
          <w:szCs w:val="24"/>
        </w:rPr>
      </w:pPr>
      <w:r>
        <w:rPr>
          <w:rFonts w:ascii="Times New Roman" w:cs="Times New Roman" w:hAnsi="Times New Roman"/>
          <w:i/>
          <w:sz w:val="24"/>
          <w:szCs w:val="24"/>
        </w:rPr>
        <w:t>Московский Государственный университет имени М.В.Ломоносова</w:t>
      </w:r>
    </w:p>
    <w:p>
      <w:pPr>
        <w:spacing w:after="0"/>
        <w:ind w:firstLine="397"/>
        <w:jc w:val="center"/>
        <w:rPr>
          <w:rFonts w:ascii="Times New Roman" w:cs="Times New Roman" w:hAnsi="Times New Roman"/>
          <w:i/>
          <w:sz w:val="24"/>
          <w:szCs w:val="24"/>
        </w:rPr>
      </w:pPr>
      <w:r>
        <w:rPr>
          <w:rFonts w:ascii="Times New Roman" w:cs="Times New Roman" w:hAnsi="Times New Roman"/>
          <w:i/>
          <w:sz w:val="24"/>
          <w:szCs w:val="24"/>
        </w:rPr>
        <w:t>Институт русского языка и культуры, Москва, Россия</w:t>
      </w:r>
    </w:p>
    <w:p>
      <w:pPr>
        <w:spacing w:after="0"/>
        <w:ind w:firstLine="397"/>
        <w:jc w:val="center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eastAsia="宋体" w:hAnsi="Times New Roman" w:hint="eastAsia"/>
          <w:i/>
          <w:iCs/>
          <w:sz w:val="24"/>
          <w:szCs w:val="24"/>
          <w:lang w:val="en-US" w:eastAsia="zh-CN"/>
        </w:rPr>
        <w:t>E</w:t>
      </w:r>
      <w:r>
        <w:rPr>
          <w:rFonts w:ascii="Times New Roman" w:eastAsia="宋体" w:hAnsi="Times New Roman" w:hint="eastAsia"/>
          <w:i/>
          <w:iCs/>
          <w:sz w:val="24"/>
          <w:szCs w:val="24"/>
          <w:lang w:eastAsia="zh-CN"/>
        </w:rPr>
        <w:t>-</w:t>
      </w:r>
      <w:r>
        <w:rPr>
          <w:rFonts w:ascii="Times New Roman" w:eastAsia="宋体" w:hAnsi="Times New Roman" w:hint="eastAsia"/>
          <w:i/>
          <w:iCs/>
          <w:sz w:val="24"/>
          <w:szCs w:val="24"/>
          <w:lang w:val="en-US" w:eastAsia="zh-CN"/>
        </w:rPr>
        <w:t>mail</w:t>
      </w:r>
      <w:r>
        <w:rPr>
          <w:rFonts w:ascii="Times New Roman" w:eastAsia="宋体" w:hAnsi="Times New Roman" w:hint="eastAsia"/>
          <w:i/>
          <w:iCs/>
          <w:sz w:val="24"/>
          <w:szCs w:val="24"/>
          <w:lang w:eastAsia="zh-CN"/>
        </w:rPr>
        <w:t>: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i/>
          <w:sz w:val="24"/>
          <w:szCs w:val="24"/>
        </w:rPr>
        <w:t>zhangzby1021@gmail.com</w:t>
      </w:r>
    </w:p>
    <w:p>
      <w:pPr>
        <w:pStyle w:val="17"/>
        <w:shd w:val="clear" w:color="auto" w:fill="FFFFFF"/>
        <w:spacing w:after="0" w:line="240" w:lineRule="auto"/>
        <w:ind w:left="0" w:firstLine="397"/>
        <w:jc w:val="center"/>
        <w:rPr>
          <w:rFonts w:ascii="Times New Roman" w:cs="Times New Roman" w:hAnsi="Times New Roman"/>
          <w:sz w:val="24"/>
          <w:szCs w:val="24"/>
        </w:rPr>
      </w:pPr>
    </w:p>
    <w:p>
      <w:pPr>
        <w:pStyle w:val="17"/>
        <w:shd w:val="clear" w:color="auto" w:fill="FFFFFF"/>
        <w:spacing w:after="0" w:line="240" w:lineRule="auto"/>
        <w:ind w:left="0" w:firstLine="397"/>
        <w:jc w:val="both"/>
        <w:rPr>
          <w:rFonts w:ascii="Times New Roman" w:cs="Times New Roman" w:hAnsi="Times New Roman"/>
          <w:sz w:val="24"/>
          <w:szCs w:val="24"/>
          <w:shd w:val="clear" w:color="auto" w:fill="FFFFFF"/>
        </w:rPr>
      </w:pPr>
      <w:r>
        <w:rPr>
          <w:rFonts w:ascii="Times New Roman" w:cs="Times New Roman" w:hAnsi="Times New Roman"/>
          <w:sz w:val="24"/>
          <w:szCs w:val="24"/>
        </w:rPr>
        <w:t xml:space="preserve">С 90-х годов значительно возрос масштаб внутренних миграций. Преобладающей тенденцией миграционных процессов в КНР стала  миграция из деревни в город. </w:t>
      </w:r>
      <w:r>
        <w:rPr>
          <w:rFonts w:ascii="Times New Roman" w:cs="Times New Roman" w:hAnsi="Times New Roman"/>
          <w:sz w:val="24"/>
          <w:szCs w:val="24"/>
          <w:shd w:val="clear" w:color="auto" w:fill="FFFFFF"/>
        </w:rPr>
        <w:t>Экономические реформы в Китае, бурный рост промышленности и урбанизации стимулировали сельскую миграцию. Сельские мигранты, переезжающие в городские районы, обеспечили гибкую и дешевую рабочую силу для индустриализации страны, создали демографический дивиденд Китая.</w:t>
      </w:r>
    </w:p>
    <w:p>
      <w:pPr>
        <w:pStyle w:val="15"/>
        <w:shd w:val="clear" w:color="auto" w:fill="FFFFFF"/>
        <w:spacing w:before="0" w:beforeAutospacing="0" w:after="0" w:afterAutospacing="0"/>
        <w:ind w:firstLine="397"/>
        <w:jc w:val="both"/>
        <w:rPr>
          <w:shd w:val="clear" w:color="auto" w:fill="F6F6F3"/>
        </w:rPr>
      </w:pPr>
      <w:r>
        <w:t xml:space="preserve">Основными причинами высокой миграции населения из деревни в город являются - разрыв в доходах между городскими и сельскими районами (почти в 2,5 раза), значительные различия в потреблении, неразвитая социальная сельская инфраструктура (медицина, образование), ограниченное социальное обеспечение сельских граждан (последствия системы хукоу). </w:t>
      </w:r>
      <w:r>
        <w:rPr>
          <w:shd w:val="clear" w:color="auto" w:fill="FFFFFF"/>
        </w:rPr>
        <w:t xml:space="preserve">Согласно данным статистики, более 30% населения не попадают под стандартное социальное обеспечение в стране, т.е. не имеют </w:t>
      </w:r>
      <w:r>
        <w:t xml:space="preserve"> доступа к субсидируемому государственному жилью, государственному образованию, государственной медицинской страховке и государственным социальным выплатам</w:t>
      </w:r>
      <w:r>
        <w:rPr>
          <w:shd w:val="clear" w:color="auto" w:fill="FFFFFF"/>
        </w:rPr>
        <w:t xml:space="preserve"> </w:t>
      </w:r>
      <w:r>
        <w:rPr>
          <w:shd w:val="clear" w:color="auto" w:fill="F6F6F3"/>
        </w:rPr>
        <w:t xml:space="preserve">[1]. Кроме того, рост производительности труда снижает </w:t>
      </w:r>
      <w:r>
        <w:t xml:space="preserve">спрос на сельскую рабочую силу в сельскохозяйственном производстве, «выталкивает» излишки рабочей силы из сельского хозяйства в другие сферы экономики, побуждает сельских работников искать работу в городах. </w:t>
      </w:r>
    </w:p>
    <w:p>
      <w:pPr>
        <w:pStyle w:val="15"/>
        <w:shd w:val="clear" w:color="auto" w:fill="FFFFFF"/>
        <w:tabs>
          <w:tab w:val="left" w:pos="426"/>
        </w:tabs>
        <w:spacing w:before="0" w:beforeAutospacing="0" w:after="0" w:afterAutospacing="0"/>
        <w:ind w:firstLine="397"/>
        <w:jc w:val="both"/>
      </w:pPr>
      <w:r>
        <w:t>Указанный миграционный процесс оказывает противоречивое воздействие на развитие экономики села. С одной стороны, высокий уровень миграции из сельской местности в городскую приводит к серьёзным проблемам для развития сельских районов, неоптимизированная урбанизация существенно ограничивает их развитие. Во-первых, сельское население продолжает сокращаться: число занятых в сельской местности уменьшается по сравнению с увеличением числа занятых в городских районах. Теряется рабочая сила в сельской местности, возникает её нехватка. Женщины и пожилые люди стали основными производителями сельскохозяйственной продукции, что не лучшим образом сказывается на темпах роста сельскохозяйственной продукции.  Во-вторых, нередки ситуации, когда земля не используется для ведения сельского хозяйства. Кроме того, сельским жителям, переехавшим в города, трудно устроиться в городе на хорошую работу с высоким доходом. Многие сельские мигранты не имеют городской прописки и в силу ограничений хукоу не могут купить квартиру, иметь бесплатное образование, медицину и т.д. [1]. Еще одной проблемой для сельских мигрантов является невысокий уровень образования, что мешает получить работу в крупных городах – мегаполисах. Многие сельские  мигранты с низким уровнем образования могут работать только в близлежащих городах, где более низкий образовательный порог для трудоустройства, но меньше спрос на рабочую силу.</w:t>
      </w:r>
    </w:p>
    <w:p>
      <w:pPr>
        <w:spacing w:after="0" w:line="240" w:lineRule="auto"/>
        <w:ind w:firstLine="397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С другой стороны, развитие миграционных процессов положительно влияет на развитие сельских районов и сельских жителей Китая. К таким факторам относятся:</w:t>
      </w:r>
    </w:p>
    <w:p>
      <w:pPr>
        <w:pStyle w:val="17"/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Рост занятости сельских граждан. Приезжая в города, сельские жители могут найти работу в быстроразвивающихся отраслях, особенно в </w:t>
      </w:r>
      <w:r>
        <w:rPr>
          <w:rFonts w:ascii="Times New Roman" w:eastAsia="Times New Roman" w:cs="Times New Roman" w:hAnsi="Times New Roman"/>
          <w:sz w:val="24"/>
          <w:szCs w:val="24"/>
          <w:lang w:eastAsia="ru-RU"/>
        </w:rPr>
        <w:t>мелкой промышленности, в сфере услуг, в строительстве, в торговле, на транспорте.</w:t>
      </w:r>
    </w:p>
    <w:p>
      <w:pPr>
        <w:pStyle w:val="17"/>
        <w:numPr>
          <w:ilvl w:val="0"/>
          <w:numId w:val="1"/>
        </w:numPr>
        <w:spacing w:after="0" w:line="240" w:lineRule="auto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eastAsia="Times New Roman" w:cs="Times New Roman" w:hAnsi="Times New Roman"/>
          <w:sz w:val="24"/>
          <w:szCs w:val="24"/>
          <w:lang w:eastAsia="ru-RU"/>
        </w:rPr>
        <w:t xml:space="preserve">Увеличение доходов, улучшение условий жизни крестьян, работающих в городах. </w:t>
      </w:r>
    </w:p>
    <w:p>
      <w:pPr>
        <w:pStyle w:val="17"/>
        <w:numPr>
          <w:ilvl w:val="0"/>
          <w:numId w:val="1"/>
        </w:numPr>
        <w:spacing w:after="0" w:line="240" w:lineRule="auto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Рост механизации в сельском хозяйстве. Оставшиеся в селе жители (женщины и старики) и мигранты, переехавшие в города, но сохраняющие свои семейные земельные ресурсы, заинтересованы использовать новые трудосберегающие технологии, применять больше средств механизации. Многие сельские мигранты, работая в городе, сдают свою землю в аренду. Обработка больших площадей земли также требует механизации. Всё это обеспечивает развитие сельского производства.</w:t>
      </w:r>
    </w:p>
    <w:p>
      <w:pPr>
        <w:pStyle w:val="17"/>
        <w:numPr>
          <w:ilvl w:val="0"/>
          <w:numId w:val="1"/>
        </w:numPr>
        <w:spacing w:after="0" w:line="240" w:lineRule="auto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Рост количества квалифицированных работников в сельских районах. Так, в период с 2000 по 2020 г. доля квалифицированного населения в сельском хозяйстве увеличилась с 34 до 56% [2]. </w:t>
      </w:r>
    </w:p>
    <w:p>
      <w:pPr>
        <w:pStyle w:val="17"/>
        <w:spacing w:after="0" w:line="240" w:lineRule="auto"/>
        <w:ind w:left="0" w:firstLine="397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Развитию сельской экономики способствует принятия в Китае политики управляемой урбанизации, которая предполагает концентрацию квалифицированных работников в крупных городах – мегаполисах, контролируемое государством сокращение сел при одновре</w:t>
      </w:r>
      <w:bookmarkStart w:id="0" w:name="_GoBack"/>
      <w:bookmarkEnd w:id="0"/>
      <w:r>
        <w:rPr>
          <w:rFonts w:ascii="Times New Roman" w:cs="Times New Roman" w:hAnsi="Times New Roman"/>
          <w:sz w:val="24"/>
          <w:szCs w:val="24"/>
        </w:rPr>
        <w:t xml:space="preserve">менном росте поселков городского типа в сельских регионах. Мегаполисы позволяют развиваться капиталоёмким отраслям, средние города и посёлки городского типа – трудоёмким отраслям. Это позволяет дать работу избыточной рабочей силе сельских регионов в средних и малых города, повысить уровень их жизни и социального обеспечения. Кроме того, это открывает возможности сезонного возврата мигрантов из города в село в пик сельских работ, так как данные практики обычно требуют близости села к  городу, в котором трудятся мигранты. </w:t>
      </w:r>
    </w:p>
    <w:p>
      <w:pPr>
        <w:pStyle w:val="17"/>
        <w:spacing w:after="0" w:line="240" w:lineRule="auto"/>
        <w:ind w:left="0" w:firstLine="397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Кроме того, важной задачей является повышение технической и образовательной грамотности сельских мигрантов, чтобы помочь им адаптироваться к промышленной трансформации Китая.</w:t>
      </w:r>
    </w:p>
    <w:p>
      <w:pPr>
        <w:pStyle w:val="17"/>
        <w:spacing w:after="0" w:line="240" w:lineRule="auto"/>
        <w:ind w:left="0" w:firstLine="397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pStyle w:val="17"/>
        <w:spacing w:after="0" w:line="240" w:lineRule="auto"/>
        <w:ind w:left="0" w:firstLine="426"/>
        <w:jc w:val="center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Литература</w:t>
      </w:r>
    </w:p>
    <w:p>
      <w:pPr>
        <w:pStyle w:val="18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firstLine="397"/>
        <w:jc w:val="both"/>
        <w:textAlignment w:val="auto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И. Хуан, С. Чжао, Н. И. Дегтярев // Особенности качества трудовой жизни различных групп населения Китая //Экономика труда. – 2023. – Т. 10, № 11. – С. 1667-1680. – DOI 10.18334/et.10.11.119764.</w:t>
      </w:r>
    </w:p>
    <w:p>
      <w:pPr>
        <w:pStyle w:val="18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firstLine="397"/>
        <w:jc w:val="both"/>
        <w:textAlignment w:val="auto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Петров А.В., Чжи Цзинкай, Байнова М.С., Петрова А.А. Человеческий капитал сельских регионов современного Китая // Пространственная экономика. 2023. Т. 19. № 1. С. 147–167. </w:t>
      </w:r>
      <w:r>
        <w:rPr>
          <w:rStyle w:val="16"/>
          <w:rFonts w:ascii="Times New Roman" w:cs="Times New Roman" w:hAnsi="Times New Roman"/>
          <w:color w:val="auto"/>
          <w:sz w:val="24"/>
          <w:szCs w:val="24"/>
          <w:u w:val="none"/>
          <w:lang w:val="en-US"/>
        </w:rPr>
        <w:fldChar w:fldCharType="begin"/>
      </w:r>
      <w:r>
        <w:instrText>HYPERLINK "https://dx.doi.org/10.14530/se.2023.1.147-167"</w:instrText>
      </w:r>
      <w:r>
        <w:rPr>
          <w:rStyle w:val="16"/>
          <w:rFonts w:ascii="Times New Roman" w:cs="Times New Roman" w:hAnsi="Times New Roman"/>
          <w:color w:val="auto"/>
          <w:sz w:val="24"/>
          <w:szCs w:val="24"/>
          <w:u w:val="none"/>
          <w:lang w:val="en-US"/>
        </w:rPr>
        <w:fldChar w:fldCharType="separate"/>
      </w:r>
      <w:r>
        <w:rPr>
          <w:rStyle w:val="16"/>
          <w:rFonts w:ascii="Times New Roman" w:cs="Times New Roman" w:hAnsi="Times New Roman"/>
          <w:color w:val="auto"/>
          <w:sz w:val="24"/>
          <w:szCs w:val="24"/>
          <w:u w:val="none"/>
          <w:lang w:val="en-US"/>
        </w:rPr>
        <w:t>https</w:t>
      </w:r>
      <w:r>
        <w:rPr>
          <w:rStyle w:val="16"/>
          <w:rFonts w:ascii="Times New Roman" w:cs="Times New Roman" w:hAnsi="Times New Roman"/>
          <w:color w:val="auto"/>
          <w:sz w:val="24"/>
          <w:szCs w:val="24"/>
          <w:u w:val="none"/>
        </w:rPr>
        <w:t>://</w:t>
      </w:r>
      <w:r>
        <w:rPr>
          <w:rStyle w:val="16"/>
          <w:rFonts w:ascii="Times New Roman" w:cs="Times New Roman" w:hAnsi="Times New Roman"/>
          <w:color w:val="auto"/>
          <w:sz w:val="24"/>
          <w:szCs w:val="24"/>
          <w:u w:val="none"/>
          <w:lang w:val="en-US"/>
        </w:rPr>
        <w:t>dx</w:t>
      </w:r>
      <w:r>
        <w:rPr>
          <w:rStyle w:val="16"/>
          <w:rFonts w:ascii="Times New Roman" w:cs="Times New Roman" w:hAnsi="Times New Roman"/>
          <w:color w:val="auto"/>
          <w:sz w:val="24"/>
          <w:szCs w:val="24"/>
          <w:u w:val="none"/>
        </w:rPr>
        <w:t>.</w:t>
      </w:r>
      <w:r>
        <w:rPr>
          <w:rStyle w:val="16"/>
          <w:rFonts w:ascii="Times New Roman" w:cs="Times New Roman" w:hAnsi="Times New Roman"/>
          <w:color w:val="auto"/>
          <w:sz w:val="24"/>
          <w:szCs w:val="24"/>
          <w:u w:val="none"/>
          <w:lang w:val="en-US"/>
        </w:rPr>
        <w:t>doi</w:t>
      </w:r>
      <w:r>
        <w:rPr>
          <w:rStyle w:val="16"/>
          <w:rFonts w:ascii="Times New Roman" w:cs="Times New Roman" w:hAnsi="Times New Roman"/>
          <w:color w:val="auto"/>
          <w:sz w:val="24"/>
          <w:szCs w:val="24"/>
          <w:u w:val="none"/>
        </w:rPr>
        <w:t>.</w:t>
      </w:r>
      <w:r>
        <w:rPr>
          <w:rStyle w:val="16"/>
          <w:rFonts w:ascii="Times New Roman" w:cs="Times New Roman" w:hAnsi="Times New Roman"/>
          <w:color w:val="auto"/>
          <w:sz w:val="24"/>
          <w:szCs w:val="24"/>
          <w:u w:val="none"/>
          <w:lang w:val="en-US"/>
        </w:rPr>
        <w:t>org</w:t>
      </w:r>
      <w:r>
        <w:rPr>
          <w:rStyle w:val="16"/>
          <w:rFonts w:ascii="Times New Roman" w:cs="Times New Roman" w:hAnsi="Times New Roman"/>
          <w:color w:val="auto"/>
          <w:sz w:val="24"/>
          <w:szCs w:val="24"/>
          <w:u w:val="none"/>
        </w:rPr>
        <w:t>/10.14530/</w:t>
      </w:r>
      <w:r>
        <w:rPr>
          <w:rStyle w:val="16"/>
          <w:rFonts w:ascii="Times New Roman" w:cs="Times New Roman" w:hAnsi="Times New Roman"/>
          <w:color w:val="auto"/>
          <w:sz w:val="24"/>
          <w:szCs w:val="24"/>
          <w:u w:val="none"/>
          <w:lang w:val="en-US"/>
        </w:rPr>
        <w:t>se</w:t>
      </w:r>
      <w:r>
        <w:rPr>
          <w:rStyle w:val="16"/>
          <w:rFonts w:ascii="Times New Roman" w:cs="Times New Roman" w:hAnsi="Times New Roman"/>
          <w:color w:val="auto"/>
          <w:sz w:val="24"/>
          <w:szCs w:val="24"/>
          <w:u w:val="none"/>
        </w:rPr>
        <w:t>.2023.1.147-167</w:t>
      </w:r>
      <w:r>
        <w:rPr>
          <w:rStyle w:val="16"/>
          <w:rFonts w:ascii="Times New Roman" w:cs="Times New Roman" w:hAnsi="Times New Roman"/>
          <w:color w:val="auto"/>
          <w:sz w:val="24"/>
          <w:szCs w:val="24"/>
          <w:u w:val="none"/>
          <w:lang w:val="en-US"/>
        </w:rPr>
        <w:fldChar w:fldCharType="end"/>
      </w:r>
      <w:r>
        <w:rPr>
          <w:rStyle w:val="16"/>
          <w:rFonts w:ascii="Times New Roman" w:cs="Times New Roman" w:hAnsi="Times New Roman"/>
          <w:color w:val="auto"/>
          <w:sz w:val="24"/>
          <w:szCs w:val="24"/>
          <w:u w:val="none"/>
        </w:rPr>
        <w:t>.</w:t>
      </w:r>
    </w:p>
    <w:sectPr>
      <w:pgSz w:w="11906" w:h="16838"/>
      <w:pgMar w:top="1134" w:right="1361" w:bottom="1134" w:left="1361" w:header="709" w:footer="709" w:gutter="0"/>
      <w:docGrid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altName w:val="Noto Serif Georgian"/>
    <w:panose1 w:val="02020603050405020304"/>
    <w:charset w:val="CC"/>
    <w:family w:val="roman"/>
    <w:pitch w:val="variable"/>
    <w:sig w:usb0="00000000" w:usb1="00000000" w:usb2="00000009" w:usb3="00000000" w:csb0="000001FF" w:csb1="00000000"/>
  </w:font>
  <w:font w:name="宋体">
    <w:altName w:val="Droid Sans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Droid Sans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Arial">
    <w:altName w:val="Source Sans Pro SemiBold"/>
    <w:panose1 w:val="020B0604020202020204"/>
    <w:charset w:val="01"/>
    <w:family w:val="swiss"/>
    <w:pitch w:val="variable"/>
    <w:sig w:usb0="E0002AFF" w:usb1="C0007843" w:usb2="00000009" w:usb3="00000000" w:csb0="400001FF" w:csb1="FFFF0000"/>
  </w:font>
  <w:font w:name="Luxi Sans">
    <w:altName w:val="Droid Sans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黑体">
    <w:panose1 w:val="00000000000000000000"/>
    <w:charset w:val="00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mc="http://schemas.openxmlformats.org/markup-compatibility/2006" xmlns:w14="http://schemas.microsoft.com/office/word/2010/wordml">
  <w:abstractNum w:abstractNumId="0">
    <w:multiLevelType w:val="multilevel"/>
    <w:tmpl w:val="7D1D2625"/>
    <w:lvl w:ilvl="0">
      <w:start w:val="1"/>
      <w:numFmt w:val="decimal"/>
      <w:lvlRestart w:val="0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multiLevelType w:val="multilevel"/>
    <w:tmpl w:val="6AD95E25"/>
    <w:lvl w:ilvl="0">
      <w:start w:val="1"/>
      <w:numFmt w:val="decimal"/>
      <w:lvlRestart w:val="0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202"/>
  <w:bordersDoNotSurroundHeader/>
  <w:bordersDoNotSurroundFooter/>
  <w:defaultTabStop w:val="708"/>
  <w:drawingGridHorizontalSpacing w:val="110"/>
  <w:drawingGridVerticalSpacing w:val="156"/>
  <w:displayHorizontalDrawingGridEvery w:val="0"/>
  <w:displayVerticalDrawingGridEvery w:val="1"/>
  <w:compat>
    <w:spaceForUL/>
    <w:growAutofit/>
    <w:compatSetting w:name="compatibilityMode" w:uri="http://schemas.microsoft.com/office/word" w:val="14"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spacing w:after="200" w:line="276" w:lineRule="auto"/>
    </w:pPr>
    <w:rPr>
      <w:rFonts w:ascii="Droid Sans" w:eastAsia="Droid Sans" w:cs="Arial"/>
      <w:sz w:val="22"/>
      <w:szCs w:val="22"/>
      <w:lang w:val="ru-RU" w:eastAsia="en-US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Luxi Sans" w:eastAsia="黑体" w:hAnsi="Luxi Sans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styleId="15">
    <w:name w:val="Normal (Web)"/>
    <w:basedOn w:val="0"/>
    <w:pPr>
      <w:spacing w:before="100" w:beforeAutospacing="1" w:after="100" w:afterAutospacing="1" w:line="240" w:lineRule="auto"/>
    </w:pPr>
    <w:rPr>
      <w:rFonts w:ascii="Times New Roman" w:eastAsia="Times New Roman" w:cs="Times New Roman" w:hAnsi="Times New Roman"/>
      <w:sz w:val="24"/>
      <w:szCs w:val="24"/>
      <w:lang w:eastAsia="ru-RU"/>
    </w:rPr>
  </w:style>
  <w:style w:type="character" w:styleId="16">
    <w:name w:val="Hyperlink"/>
    <w:basedOn w:val="10"/>
    <w:rPr>
      <w:color w:val="0000FF"/>
      <w:u w:val="single"/>
    </w:rPr>
  </w:style>
  <w:style w:type="paragraph" w:customStyle="1" w:styleId="17">
    <w:name w:val="List Paragraph"/>
    <w:basedOn w:val="0"/>
    <w:pPr>
      <w:ind w:left="720"/>
      <w:contextualSpacing/>
    </w:pPr>
  </w:style>
  <w:style w:type="paragraph" w:customStyle="1" w:styleId="18">
    <w:name w:val="No Spacing"/>
    <w:pPr>
      <w:spacing w:after="0" w:line="240" w:lineRule="auto"/>
    </w:pPr>
    <w:rPr>
      <w:rFonts w:ascii="Droid Sans" w:eastAsia="Droid Sans" w:cs="Arial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5</TotalTime>
  <Application>Office</Application>
  <Pages>2</Pages>
  <Words>676</Words>
  <Characters>4708</Characters>
  <Lines>87</Lines>
  <Paragraphs>19</Paragraphs>
  <CharactersWithSpaces>5380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cp:lastModifiedBy>手机用户</cp:lastModifiedBy>
  <cp:revision>0</cp:revision>
  <dcterms:modified xsi:type="dcterms:W3CDTF">2025-04-22T02:30:26Z</dcterms:modified>
</cp:coreProperties>
</file>