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83E3A" w:rsidRDefault="00ED6C27" w:rsidP="00D32AF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32AF6">
        <w:rPr>
          <w:rFonts w:ascii="Times New Roman" w:hAnsi="Times New Roman" w:cs="Times New Roman"/>
          <w:b/>
          <w:bCs/>
          <w:sz w:val="24"/>
          <w:szCs w:val="24"/>
        </w:rPr>
        <w:t>Банковский сектор Турции</w:t>
      </w:r>
    </w:p>
    <w:p w14:paraId="58EB36CB" w14:textId="166FE45D" w:rsidR="008534A2" w:rsidRPr="00B45AA5" w:rsidRDefault="008534A2" w:rsidP="00D32AF6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proofErr w:type="spellStart"/>
      <w:r w:rsidRPr="00B45AA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Чимен</w:t>
      </w:r>
      <w:proofErr w:type="spellEnd"/>
      <w:r w:rsidRPr="00B45AA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B45AA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Фуркан</w:t>
      </w:r>
      <w:proofErr w:type="spellEnd"/>
      <w:r w:rsidRPr="00B45AA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B45AA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Мерич</w:t>
      </w:r>
      <w:proofErr w:type="spellEnd"/>
    </w:p>
    <w:p w14:paraId="7453A84B" w14:textId="5E742D31" w:rsidR="00514FAF" w:rsidRDefault="00514FAF" w:rsidP="00514FAF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lang w:val="ru-RU"/>
        </w:rPr>
        <w:t>Студент (</w:t>
      </w:r>
      <w:r w:rsidR="006B5058">
        <w:rPr>
          <w:rFonts w:ascii="Times New Roman" w:eastAsia="Times New Roman" w:hAnsi="Times New Roman" w:cs="Times New Roman"/>
          <w:i/>
          <w:sz w:val="24"/>
          <w:lang w:val="ru-RU"/>
        </w:rPr>
        <w:t>бакалавр</w:t>
      </w:r>
      <w:r>
        <w:rPr>
          <w:rFonts w:ascii="Times New Roman" w:eastAsia="Times New Roman" w:hAnsi="Times New Roman" w:cs="Times New Roman"/>
          <w:i/>
          <w:sz w:val="24"/>
          <w:lang w:val="ru-RU"/>
        </w:rPr>
        <w:t>)</w:t>
      </w:r>
    </w:p>
    <w:p w14:paraId="486C49A5" w14:textId="77777777" w:rsidR="00514FAF" w:rsidRDefault="00514FAF" w:rsidP="00514FAF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Московский государственный университет имени М.В.Ломоносова,</w:t>
      </w:r>
    </w:p>
    <w:p w14:paraId="7D521747" w14:textId="77777777" w:rsidR="00514FAF" w:rsidRDefault="00514FAF" w:rsidP="00514FAF">
      <w:pPr>
        <w:keepNext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highlight w:val="white"/>
          <w:lang w:val="ru-RU"/>
        </w:rPr>
        <w:t>Институт русского языка и культуры, Москва, Россия</w:t>
      </w:r>
    </w:p>
    <w:p w14:paraId="7CCD6F12" w14:textId="19C4FB9B" w:rsidR="009E2C92" w:rsidRDefault="00514FAF" w:rsidP="009E2C92">
      <w:pPr>
        <w:keepNext/>
        <w:shd w:val="clear" w:color="auto" w:fill="FFFFFF"/>
        <w:spacing w:line="240" w:lineRule="auto"/>
        <w:jc w:val="center"/>
        <w:rPr>
          <w:rFonts w:ascii="Times New Roman" w:hAnsi="Times New Roman" w:cs="Times New Roman"/>
          <w:i/>
          <w:u w:val="single"/>
          <w:lang w:val="tr-TR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–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mail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:</w:t>
      </w:r>
      <w:r>
        <w:rPr>
          <w:rFonts w:ascii="Times New Roman" w:eastAsia="Times New Roman" w:hAnsi="Times New Roman" w:cs="Times New Roman"/>
          <w:i/>
          <w:sz w:val="24"/>
          <w:lang w:val="ru-RU"/>
        </w:rPr>
        <w:t xml:space="preserve"> </w:t>
      </w:r>
      <w:hyperlink r:id="rId8" w:history="1">
        <w:r w:rsidR="009E2C92" w:rsidRPr="005C2316">
          <w:rPr>
            <w:rStyle w:val="a5"/>
            <w:rFonts w:ascii="Times New Roman" w:hAnsi="Times New Roman" w:cs="Times New Roman"/>
            <w:i/>
            <w:lang w:val="tr-TR"/>
          </w:rPr>
          <w:t>furkancmn3505@gmail.com</w:t>
        </w:r>
      </w:hyperlink>
    </w:p>
    <w:p w14:paraId="64DB5A01" w14:textId="77777777" w:rsidR="00514FAF" w:rsidRPr="006632B0" w:rsidRDefault="00514FAF" w:rsidP="006632B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00000002" w14:textId="141976BC" w:rsidR="00A83E3A" w:rsidRPr="00D32AF6" w:rsidRDefault="00D32AF6" w:rsidP="00264B0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32AF6">
        <w:rPr>
          <w:rFonts w:ascii="Times New Roman" w:hAnsi="Times New Roman" w:cs="Times New Roman"/>
          <w:sz w:val="24"/>
          <w:szCs w:val="24"/>
        </w:rPr>
        <w:t xml:space="preserve">Банковская система Турции играет ключевую роль в экономике страны, обеспечивая финансовые потоки, кредитование бизнеса и населения, а также стабильность денежного обращения. Турецкий банковский сектор прошел значительные изменения за последние десятилетия, включая либерализацию, цифровизацию и адаптацию к мировым финансовым стандартам </w:t>
      </w:r>
      <w:r w:rsidR="00514FAF">
        <w:rPr>
          <w:rFonts w:ascii="Times New Roman" w:hAnsi="Times New Roman" w:cs="Times New Roman"/>
          <w:sz w:val="24"/>
          <w:szCs w:val="24"/>
        </w:rPr>
        <w:t>[</w:t>
      </w:r>
      <w:r w:rsidR="00964AC3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514FAF">
        <w:rPr>
          <w:rFonts w:ascii="Times New Roman" w:hAnsi="Times New Roman" w:cs="Times New Roman"/>
          <w:sz w:val="24"/>
          <w:szCs w:val="24"/>
          <w:lang w:val="ru-RU"/>
        </w:rPr>
        <w:t>].</w:t>
      </w:r>
    </w:p>
    <w:p w14:paraId="00000003" w14:textId="3AFA403D" w:rsidR="00A83E3A" w:rsidRPr="00D32AF6" w:rsidRDefault="00D32AF6" w:rsidP="00264B0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AF6">
        <w:rPr>
          <w:rFonts w:ascii="Times New Roman" w:hAnsi="Times New Roman" w:cs="Times New Roman"/>
          <w:sz w:val="24"/>
          <w:szCs w:val="24"/>
        </w:rPr>
        <w:t xml:space="preserve">В начале 2000-х годов банковская система Турции пережила серьезный кризис, который привел к масштабным реформам. Власти ввели строгие меры регулирования, что повысило устойчивость </w:t>
      </w:r>
      <w:r w:rsidRPr="008534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банковского сектора</w:t>
      </w:r>
      <w:r w:rsidRPr="00D32AF6">
        <w:rPr>
          <w:rFonts w:ascii="Times New Roman" w:hAnsi="Times New Roman" w:cs="Times New Roman"/>
          <w:sz w:val="24"/>
          <w:szCs w:val="24"/>
        </w:rPr>
        <w:t xml:space="preserve">. Центральный банк Турции и Агентство по регулированию и надзору за банковской деятельностью (BDDK) играют ключевую роль в контроле над сектором, следя за соблюдением нормативов достаточности капитала, ликвидности и управления рисками </w:t>
      </w:r>
      <w:r w:rsidR="00514FAF">
        <w:rPr>
          <w:rFonts w:ascii="Times New Roman" w:hAnsi="Times New Roman" w:cs="Times New Roman"/>
          <w:sz w:val="24"/>
          <w:szCs w:val="24"/>
        </w:rPr>
        <w:t>[</w:t>
      </w:r>
      <w:r w:rsidR="00514F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F91F48">
        <w:rPr>
          <w:rFonts w:ascii="Times New Roman" w:hAnsi="Times New Roman" w:cs="Times New Roman"/>
          <w:sz w:val="24"/>
          <w:szCs w:val="24"/>
          <w:lang w:val="ru-RU"/>
        </w:rPr>
        <w:t>,7</w:t>
      </w:r>
      <w:r w:rsidR="00514FAF">
        <w:rPr>
          <w:rFonts w:ascii="Times New Roman" w:hAnsi="Times New Roman" w:cs="Times New Roman"/>
          <w:sz w:val="24"/>
          <w:szCs w:val="24"/>
          <w:lang w:val="ru-RU"/>
        </w:rPr>
        <w:t>].</w:t>
      </w:r>
    </w:p>
    <w:p w14:paraId="00000004" w14:textId="61CC8C4F" w:rsidR="00A83E3A" w:rsidRDefault="00D32AF6" w:rsidP="00264B0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AF6">
        <w:rPr>
          <w:rFonts w:ascii="Times New Roman" w:hAnsi="Times New Roman" w:cs="Times New Roman"/>
          <w:sz w:val="24"/>
          <w:szCs w:val="24"/>
        </w:rPr>
        <w:t>Турецкий банковский сектор состоит из государственных, частных и иностранных банков. Государственные банки, такие как Ziraat Bankası, VakıfBank и Halkbank, традиционно выполняют важную социально-экономическую функцию, поддерживая малый бизнес и сельское хозяйство. Частные банки</w:t>
      </w:r>
      <w:r w:rsidR="008F025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14F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4FAF" w:rsidRPr="001E015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например</w:t>
      </w:r>
      <w:r w:rsidR="00514FAF" w:rsidRPr="00514FAF">
        <w:rPr>
          <w:rFonts w:ascii="Times New Roman" w:hAnsi="Times New Roman" w:cs="Times New Roman"/>
          <w:color w:val="0070C0"/>
          <w:sz w:val="24"/>
          <w:szCs w:val="24"/>
          <w:lang w:val="ru-RU"/>
        </w:rPr>
        <w:t>,</w:t>
      </w:r>
      <w:r w:rsidRPr="00D32AF6">
        <w:rPr>
          <w:rFonts w:ascii="Times New Roman" w:hAnsi="Times New Roman" w:cs="Times New Roman"/>
          <w:sz w:val="24"/>
          <w:szCs w:val="24"/>
        </w:rPr>
        <w:t xml:space="preserve"> Garanti BBVA, İş Bankası и Akbank, активно конкурируют на рынке, предлагая широкий спектр финансовых услуг </w:t>
      </w:r>
      <w:r w:rsidR="00514FAF">
        <w:rPr>
          <w:rFonts w:ascii="Times New Roman" w:hAnsi="Times New Roman" w:cs="Times New Roman"/>
          <w:sz w:val="24"/>
          <w:szCs w:val="24"/>
        </w:rPr>
        <w:t>[</w:t>
      </w:r>
      <w:r w:rsidR="00F91F4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514FAF">
        <w:rPr>
          <w:rFonts w:ascii="Times New Roman" w:hAnsi="Times New Roman" w:cs="Times New Roman"/>
          <w:sz w:val="24"/>
          <w:szCs w:val="24"/>
          <w:lang w:val="ru-RU"/>
        </w:rPr>
        <w:t>].</w:t>
      </w:r>
    </w:p>
    <w:p w14:paraId="50A3DB4D" w14:textId="77777777" w:rsidR="00437A8A" w:rsidRPr="001E015B" w:rsidRDefault="00437A8A" w:rsidP="00264B04">
      <w:pPr>
        <w:pStyle w:val="aos-init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1E015B">
        <w:rPr>
          <w:color w:val="000000" w:themeColor="text1"/>
          <w:shd w:val="clear" w:color="auto" w:fill="FFFFFF"/>
        </w:rPr>
        <w:t xml:space="preserve">Центральный банк Турции – это государственный орган, </w:t>
      </w:r>
      <w:proofErr w:type="gramStart"/>
      <w:r w:rsidRPr="001E015B">
        <w:rPr>
          <w:color w:val="000000" w:themeColor="text1"/>
          <w:shd w:val="clear" w:color="auto" w:fill="FFFFFF"/>
        </w:rPr>
        <w:t>который  осуществляет</w:t>
      </w:r>
      <w:proofErr w:type="gramEnd"/>
      <w:r w:rsidRPr="001E015B">
        <w:rPr>
          <w:color w:val="000000" w:themeColor="text1"/>
          <w:shd w:val="clear" w:color="auto" w:fill="FFFFFF"/>
        </w:rPr>
        <w:t xml:space="preserve"> монетарную политику, контролирует денежное обращение и стабильность финансовой системы. </w:t>
      </w:r>
      <w:r w:rsidRPr="001E015B">
        <w:rPr>
          <w:color w:val="000000" w:themeColor="text1"/>
        </w:rPr>
        <w:t>Банковская система Турции включает несколько категорий банков:</w:t>
      </w:r>
    </w:p>
    <w:p w14:paraId="39210B9D" w14:textId="248369A9" w:rsidR="00437A8A" w:rsidRPr="001E015B" w:rsidRDefault="00437A8A" w:rsidP="00264B0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01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коммерческие банки</w:t>
      </w:r>
      <w:r w:rsidRPr="001E01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– главные участники банковского рынка</w:t>
      </w:r>
      <w:r w:rsidRPr="001E01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14:paraId="56A02CC7" w14:textId="20EB5EBA" w:rsidR="00437A8A" w:rsidRPr="001E015B" w:rsidRDefault="00437A8A" w:rsidP="00264B0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01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инвестиционные банки,</w:t>
      </w:r>
      <w:r w:rsidR="00A76F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E01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развивающиеся и специализированные банки,</w:t>
      </w:r>
      <w:r w:rsidR="00A76F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E01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также банки с участием иностранных капиталов владельцев.</w:t>
      </w:r>
    </w:p>
    <w:p w14:paraId="4DC9E3BA" w14:textId="5FBEE9D4" w:rsidR="00437A8A" w:rsidRDefault="00437A8A" w:rsidP="00264B04">
      <w:pPr>
        <w:pStyle w:val="aos-init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  <w:sz w:val="21"/>
          <w:szCs w:val="21"/>
          <w:shd w:val="clear" w:color="auto" w:fill="FFFFFF"/>
          <w:lang w:val="tr-TR"/>
        </w:rPr>
      </w:pPr>
      <w:r w:rsidRPr="001E015B">
        <w:rPr>
          <w:color w:val="000000" w:themeColor="text1"/>
        </w:rPr>
        <w:t xml:space="preserve">В конце 2024 года в Турции работали около </w:t>
      </w:r>
      <w:r w:rsidRPr="00E01CEA">
        <w:rPr>
          <w:color w:val="000000" w:themeColor="text1"/>
        </w:rPr>
        <w:t>6</w:t>
      </w:r>
      <w:r w:rsidR="00E8155C" w:rsidRPr="00E01CEA">
        <w:rPr>
          <w:color w:val="000000" w:themeColor="text1"/>
        </w:rPr>
        <w:t>0</w:t>
      </w:r>
      <w:r w:rsidRPr="001E015B">
        <w:rPr>
          <w:color w:val="000000" w:themeColor="text1"/>
        </w:rPr>
        <w:t xml:space="preserve"> банковских организаций, включая государственные, частные, иностранные банки. Их активы сектора составили 32,67 трлн лир (929,59 млрд долларов США), увеличившись на 38,7</w:t>
      </w:r>
      <w:proofErr w:type="gramStart"/>
      <w:r w:rsidRPr="001E015B">
        <w:rPr>
          <w:color w:val="000000" w:themeColor="text1"/>
        </w:rPr>
        <w:t>%  за</w:t>
      </w:r>
      <w:proofErr w:type="gramEnd"/>
      <w:r w:rsidRPr="001E015B">
        <w:rPr>
          <w:color w:val="000000" w:themeColor="text1"/>
        </w:rPr>
        <w:t xml:space="preserve"> год.  [</w:t>
      </w:r>
      <w:r w:rsidR="00F91F48">
        <w:rPr>
          <w:color w:val="000000" w:themeColor="text1"/>
        </w:rPr>
        <w:t>4</w:t>
      </w:r>
      <w:r w:rsidRPr="001E015B">
        <w:rPr>
          <w:color w:val="000000" w:themeColor="text1"/>
        </w:rPr>
        <w:t>].</w:t>
      </w:r>
    </w:p>
    <w:p w14:paraId="7BB3C8BF" w14:textId="469879E4" w:rsidR="00261540" w:rsidRPr="00261540" w:rsidRDefault="00261540" w:rsidP="00264B04">
      <w:pPr>
        <w:pStyle w:val="aos-init"/>
        <w:shd w:val="clear" w:color="auto" w:fill="FFFFFF"/>
        <w:spacing w:before="0" w:beforeAutospacing="0" w:after="0" w:afterAutospacing="0"/>
        <w:ind w:firstLine="425"/>
        <w:jc w:val="both"/>
        <w:rPr>
          <w:lang w:val="tr-TR"/>
        </w:rPr>
      </w:pPr>
      <w:r>
        <w:t>На протяжении последних лет банковский сектор Турции демонстрирует стабильный рост, несмотря на макроэкономические вызовы. По данным Агентства по регулированию и надзору за банковской деятельностью (BDDK), общий объем активов турецких банков в 2024 году достиг 32,67 трлн лир (929,59 млрд долларов США), что на 38,7% больше, чем годом ранее. Чистая прибыль банковского сектора составила 18,8 млрд долларов США, что подтверждает его устойчивость даже в условиях высокой инфляции и волатильности курса национальной валюты. Более того, уровень достаточности капитала в крупнейших банках страны оста</w:t>
      </w:r>
      <w:r w:rsidR="00E8155C" w:rsidRPr="00C221D1">
        <w:t>ё</w:t>
      </w:r>
      <w:r>
        <w:t xml:space="preserve">тся выше 17%, что соответствует международным нормативам </w:t>
      </w:r>
      <w:r w:rsidRPr="00E01CEA">
        <w:rPr>
          <w:color w:val="000000" w:themeColor="text1"/>
        </w:rPr>
        <w:t>[</w:t>
      </w:r>
      <w:r w:rsidR="00372574">
        <w:rPr>
          <w:color w:val="000000" w:themeColor="text1"/>
        </w:rPr>
        <w:t>5</w:t>
      </w:r>
      <w:r w:rsidRPr="00E01CEA">
        <w:rPr>
          <w:color w:val="000000" w:themeColor="text1"/>
        </w:rPr>
        <w:t>].</w:t>
      </w:r>
    </w:p>
    <w:p w14:paraId="00000005" w14:textId="39C83ED9" w:rsidR="00A83E3A" w:rsidRPr="00261540" w:rsidRDefault="00D32AF6" w:rsidP="00264B04">
      <w:pPr>
        <w:spacing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32AF6">
        <w:rPr>
          <w:rFonts w:ascii="Times New Roman" w:hAnsi="Times New Roman" w:cs="Times New Roman"/>
          <w:sz w:val="24"/>
          <w:szCs w:val="24"/>
        </w:rPr>
        <w:t>В последние годы цифровизация и развитие финтех-компаний изменили структуру банковского сектора Турции. Онлайн-банкинг и мобильные платежи стали популярными среди населения, а государство активно поддерживает цифровую трансформацию в финансовой сфере. Однако высокий уровень инфляции, нестабильность курса турецкой лиры и внешнеэкономические факторы создают серьезные</w:t>
      </w:r>
      <w:r w:rsidRPr="00D32A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34A2">
        <w:rPr>
          <w:rFonts w:ascii="Times New Roman" w:hAnsi="Times New Roman" w:cs="Times New Roman"/>
          <w:sz w:val="24"/>
          <w:szCs w:val="24"/>
          <w:lang w:val="ru-RU"/>
        </w:rPr>
        <w:t>риски</w:t>
      </w:r>
      <w:r w:rsidRPr="00D32AF6">
        <w:rPr>
          <w:rFonts w:ascii="Times New Roman" w:hAnsi="Times New Roman" w:cs="Times New Roman"/>
          <w:sz w:val="24"/>
          <w:szCs w:val="24"/>
        </w:rPr>
        <w:t xml:space="preserve"> для банковского сектора </w:t>
      </w:r>
      <w:bookmarkStart w:id="0" w:name="_Hlk193388646"/>
      <w:r w:rsidR="00514FAF" w:rsidRPr="00E01CEA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3725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="00514FAF" w:rsidRPr="00E01C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]</w:t>
      </w:r>
      <w:bookmarkEnd w:id="0"/>
      <w:r w:rsidR="00514FAF" w:rsidRPr="00E01C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00000006" w14:textId="2D8AED23" w:rsidR="00A83E3A" w:rsidRPr="00AF56F1" w:rsidRDefault="00D32AF6" w:rsidP="00264B0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56F1">
        <w:rPr>
          <w:rFonts w:ascii="Times New Roman" w:hAnsi="Times New Roman" w:cs="Times New Roman"/>
          <w:sz w:val="24"/>
          <w:szCs w:val="24"/>
        </w:rPr>
        <w:t>Несмотря на макроэкономические риски, банковская система Турции продолжает адаптироваться к новым условиям, внедряя инновационные технологии и усиливая регуляторный контроль. В долгосрочной перспективе успешность сектора будет зависеть от экономической стабильности страны и способности банков адаптироваться к меняющейся глобальной среде.</w:t>
      </w:r>
    </w:p>
    <w:p w14:paraId="271CC526" w14:textId="384DFF01" w:rsidR="00D32AF6" w:rsidRPr="003D42F6" w:rsidRDefault="00D32AF6" w:rsidP="0053453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D32A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lastRenderedPageBreak/>
        <w:t>Литература</w:t>
      </w:r>
    </w:p>
    <w:p w14:paraId="4FE8F377" w14:textId="25F4D017" w:rsidR="0055453D" w:rsidRPr="007B3D6B" w:rsidRDefault="0055453D" w:rsidP="00372574">
      <w:pPr>
        <w:pStyle w:val="a6"/>
        <w:numPr>
          <w:ilvl w:val="0"/>
          <w:numId w:val="5"/>
        </w:numPr>
        <w:tabs>
          <w:tab w:val="left" w:pos="426"/>
        </w:tabs>
        <w:spacing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D6B">
        <w:rPr>
          <w:rFonts w:ascii="Times New Roman" w:hAnsi="Times New Roman" w:cs="Times New Roman"/>
          <w:sz w:val="24"/>
          <w:szCs w:val="24"/>
        </w:rPr>
        <w:t xml:space="preserve">Акгюнай Синан. Раскрытие макропруденциальных механизмов: механизмы, возглавляемые центральным банком, в турецком опыте после Глобального финансового кризиса. </w:t>
      </w:r>
      <w:bookmarkStart w:id="1" w:name="_Hlk193388750"/>
      <w:r w:rsidRPr="007B3D6B">
        <w:rPr>
          <w:rFonts w:ascii="Times New Roman" w:hAnsi="Times New Roman" w:cs="Times New Roman"/>
          <w:sz w:val="24"/>
          <w:szCs w:val="24"/>
        </w:rPr>
        <w:t>2022.</w:t>
      </w:r>
      <w:bookmarkEnd w:id="1"/>
      <w:r w:rsidRPr="007B3D6B">
        <w:rPr>
          <w:rFonts w:ascii="Times New Roman" w:hAnsi="Times New Roman" w:cs="Times New Roman"/>
          <w:sz w:val="24"/>
          <w:szCs w:val="24"/>
        </w:rPr>
        <w:t xml:space="preserve"> (New Perspectives on Turkey</w:t>
      </w:r>
      <w:r w:rsidR="00DE6B5B" w:rsidRPr="007B3D6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67BD2" w:rsidRPr="007B3D6B">
        <w:rPr>
          <w:rFonts w:ascii="Times New Roman" w:hAnsi="Times New Roman" w:cs="Times New Roman"/>
          <w:sz w:val="24"/>
          <w:szCs w:val="24"/>
        </w:rPr>
        <w:t>2022</w:t>
      </w:r>
      <w:r w:rsidR="00867BD2" w:rsidRPr="007B3D6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67BD2" w:rsidRPr="007B3D6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867BD2" w:rsidRPr="007B3D6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67BD2" w:rsidRPr="007B3D6B">
        <w:rPr>
          <w:rFonts w:ascii="Times New Roman" w:hAnsi="Times New Roman" w:cs="Times New Roman"/>
          <w:sz w:val="24"/>
          <w:szCs w:val="24"/>
        </w:rPr>
        <w:t>83-104</w:t>
      </w:r>
      <w:r w:rsidRPr="007B3D6B">
        <w:rPr>
          <w:rFonts w:ascii="Times New Roman" w:hAnsi="Times New Roman" w:cs="Times New Roman"/>
          <w:sz w:val="24"/>
          <w:szCs w:val="24"/>
        </w:rPr>
        <w:t xml:space="preserve">) </w:t>
      </w:r>
      <w:bookmarkStart w:id="2" w:name="_Hlk193388686"/>
      <w:r w:rsidR="00867BD2" w:rsidRPr="007B3D6B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867BD2" w:rsidRPr="007B3D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="00867BD2" w:rsidRPr="007B3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67BD2" w:rsidRPr="007B3D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тур</w:t>
      </w:r>
      <w:r w:rsidR="00867BD2" w:rsidRPr="007B3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spellStart"/>
      <w:r w:rsidR="00867BD2" w:rsidRPr="007B3D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яз</w:t>
      </w:r>
      <w:proofErr w:type="spellEnd"/>
      <w:r w:rsidR="00867BD2" w:rsidRPr="007B3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.]</w:t>
      </w:r>
      <w:bookmarkEnd w:id="2"/>
      <w:r w:rsidR="00C469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3C8D95FF" w14:textId="54B217A9" w:rsidR="0055453D" w:rsidRPr="007B3D6B" w:rsidRDefault="0055453D" w:rsidP="00372574">
      <w:pPr>
        <w:pStyle w:val="a6"/>
        <w:numPr>
          <w:ilvl w:val="0"/>
          <w:numId w:val="5"/>
        </w:numPr>
        <w:tabs>
          <w:tab w:val="left" w:pos="426"/>
        </w:tabs>
        <w:spacing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D6B">
        <w:rPr>
          <w:rFonts w:ascii="Times New Roman" w:hAnsi="Times New Roman" w:cs="Times New Roman"/>
          <w:color w:val="000000" w:themeColor="text1"/>
          <w:sz w:val="24"/>
          <w:szCs w:val="24"/>
        </w:rPr>
        <w:t>Аккая Джансу. Нури Авшарлыгиль. Оценка финансовых показателей банков: исследование банковского сектора Турции. 2025. (Alanya Akademik Bakış</w:t>
      </w:r>
      <w:r w:rsidR="00DE6B5B" w:rsidRPr="007B3D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867BD2" w:rsidRPr="007B3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2025, С. </w:t>
      </w:r>
      <w:r w:rsidRPr="007B3D6B">
        <w:rPr>
          <w:rFonts w:ascii="Times New Roman" w:hAnsi="Times New Roman" w:cs="Times New Roman"/>
          <w:color w:val="000000" w:themeColor="text1"/>
          <w:sz w:val="24"/>
          <w:szCs w:val="24"/>
        </w:rPr>
        <w:t>290-307</w:t>
      </w:r>
      <w:r w:rsidR="00867BD2" w:rsidRPr="007B3D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="00867BD2" w:rsidRPr="007B3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[на тур.яз.]</w:t>
      </w:r>
      <w:r w:rsidR="00C469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2CED8B8" w14:textId="7783CF21" w:rsidR="0055453D" w:rsidRPr="007B3D6B" w:rsidRDefault="0055453D" w:rsidP="00372574">
      <w:pPr>
        <w:pStyle w:val="a6"/>
        <w:numPr>
          <w:ilvl w:val="0"/>
          <w:numId w:val="5"/>
        </w:numPr>
        <w:tabs>
          <w:tab w:val="left" w:pos="426"/>
        </w:tabs>
        <w:spacing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7B3D6B">
        <w:rPr>
          <w:rFonts w:ascii="Times New Roman" w:hAnsi="Times New Roman" w:cs="Times New Roman"/>
          <w:color w:val="000000" w:themeColor="text1"/>
          <w:sz w:val="24"/>
          <w:szCs w:val="24"/>
        </w:rPr>
        <w:t>Акчабелен</w:t>
      </w:r>
      <w:r w:rsidRPr="007B3D6B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Pr="007B3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Айше Севенджан. </w:t>
      </w:r>
      <w:proofErr w:type="spellStart"/>
      <w:r w:rsidRPr="007B3D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Макроиндикаторы</w:t>
      </w:r>
      <w:proofErr w:type="spellEnd"/>
      <w:r w:rsidRPr="007B3D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цикличности в турецкой экономике. </w:t>
      </w:r>
      <w:r w:rsidRPr="007B3D6B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2022. (</w:t>
      </w:r>
      <w:r w:rsidRPr="007B3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Circular Economy: Multidisciplinary </w:t>
      </w:r>
      <w:r w:rsidRPr="007B3D6B">
        <w:rPr>
          <w:rFonts w:ascii="Times New Roman" w:hAnsi="Times New Roman" w:cs="Times New Roman"/>
          <w:sz w:val="24"/>
          <w:szCs w:val="24"/>
        </w:rPr>
        <w:t>Approaches from Turkey</w:t>
      </w:r>
      <w:r w:rsidR="00DE6B5B" w:rsidRPr="007B3D6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67BD2" w:rsidRPr="007B3D6B">
        <w:rPr>
          <w:rFonts w:ascii="Times New Roman" w:hAnsi="Times New Roman" w:cs="Times New Roman"/>
          <w:sz w:val="24"/>
          <w:szCs w:val="24"/>
          <w:lang w:val="en-US"/>
        </w:rPr>
        <w:t>2022,</w:t>
      </w:r>
      <w:r w:rsidRPr="007B3D6B">
        <w:rPr>
          <w:rFonts w:ascii="Times New Roman" w:hAnsi="Times New Roman" w:cs="Times New Roman"/>
          <w:sz w:val="24"/>
          <w:szCs w:val="24"/>
        </w:rPr>
        <w:t xml:space="preserve"> </w:t>
      </w:r>
      <w:r w:rsidR="0053453F" w:rsidRPr="007B3D6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3453F" w:rsidRPr="007B3D6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67BD2" w:rsidRPr="007B3D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3D6B">
        <w:rPr>
          <w:rFonts w:ascii="Times New Roman" w:hAnsi="Times New Roman" w:cs="Times New Roman"/>
          <w:sz w:val="24"/>
          <w:szCs w:val="24"/>
        </w:rPr>
        <w:t>189</w:t>
      </w:r>
      <w:r w:rsidR="00867BD2" w:rsidRPr="007B3D6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67BD2" w:rsidRPr="007B3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r w:rsidR="00867BD2" w:rsidRPr="007B3D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="00867BD2" w:rsidRPr="007B3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67BD2" w:rsidRPr="007B3D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тур</w:t>
      </w:r>
      <w:r w:rsidR="00867BD2" w:rsidRPr="007B3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spellStart"/>
      <w:r w:rsidR="00867BD2" w:rsidRPr="007B3D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яз</w:t>
      </w:r>
      <w:proofErr w:type="spellEnd"/>
      <w:r w:rsidR="00867BD2" w:rsidRPr="007B3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.]</w:t>
      </w:r>
      <w:r w:rsidR="00C469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58BCBEF" w14:textId="4B0857D5" w:rsidR="0055453D" w:rsidRPr="007B3D6B" w:rsidRDefault="0055453D" w:rsidP="00372574">
      <w:pPr>
        <w:pStyle w:val="a6"/>
        <w:numPr>
          <w:ilvl w:val="0"/>
          <w:numId w:val="5"/>
        </w:numPr>
        <w:tabs>
          <w:tab w:val="left" w:pos="426"/>
        </w:tabs>
        <w:spacing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7B3D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Кескин</w:t>
      </w:r>
      <w:proofErr w:type="spellEnd"/>
      <w:r w:rsidRPr="007B3D6B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Pr="007B3D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Омер.</w:t>
      </w:r>
      <w:r w:rsidRPr="007B3D6B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Pr="007B3D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 взаимодействия между операциями по снятию наличных с кредитных карт и чистой рентабельностью банков: турецкий банковский сектор.</w:t>
      </w:r>
      <w:r w:rsidR="00A73DA0" w:rsidRPr="007B3D6B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2024</w:t>
      </w:r>
      <w:r w:rsidR="00867BD2" w:rsidRPr="007B3D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="00A73DA0" w:rsidRPr="007B3D6B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(</w:t>
      </w:r>
      <w:r w:rsidRPr="007B3D6B">
        <w:rPr>
          <w:rFonts w:ascii="Times New Roman" w:hAnsi="Times New Roman" w:cs="Times New Roman"/>
          <w:color w:val="000000" w:themeColor="text1"/>
          <w:sz w:val="24"/>
          <w:szCs w:val="24"/>
        </w:rPr>
        <w:t>Journal of Research in Business</w:t>
      </w:r>
      <w:r w:rsidR="00DE6B5B" w:rsidRPr="007B3D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7B3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7BD2" w:rsidRPr="007B3D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2024, </w:t>
      </w:r>
      <w:r w:rsidR="0053453F" w:rsidRPr="007B3D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С.</w:t>
      </w:r>
      <w:r w:rsidR="00867BD2" w:rsidRPr="007B3D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B3D6B">
        <w:rPr>
          <w:rFonts w:ascii="Times New Roman" w:hAnsi="Times New Roman" w:cs="Times New Roman"/>
          <w:color w:val="000000" w:themeColor="text1"/>
          <w:sz w:val="24"/>
          <w:szCs w:val="24"/>
        </w:rPr>
        <w:t>540-553</w:t>
      </w:r>
      <w:r w:rsidR="00867BD2" w:rsidRPr="007B3D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="00867BD2" w:rsidRPr="007B3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r w:rsidR="00867BD2" w:rsidRPr="007B3D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 </w:t>
      </w:r>
      <w:proofErr w:type="spellStart"/>
      <w:r w:rsidR="00867BD2" w:rsidRPr="007B3D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тур.яз</w:t>
      </w:r>
      <w:proofErr w:type="spellEnd"/>
      <w:r w:rsidR="00867BD2" w:rsidRPr="007B3D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.]</w:t>
      </w:r>
      <w:r w:rsidR="00C469F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</w:p>
    <w:p w14:paraId="70196347" w14:textId="6354C9BC" w:rsidR="0055453D" w:rsidRPr="007B3D6B" w:rsidRDefault="0055453D" w:rsidP="00372574">
      <w:pPr>
        <w:pStyle w:val="a6"/>
        <w:numPr>
          <w:ilvl w:val="0"/>
          <w:numId w:val="5"/>
        </w:numPr>
        <w:tabs>
          <w:tab w:val="left" w:pos="426"/>
        </w:tabs>
        <w:spacing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7B3D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Лессамбо</w:t>
      </w:r>
      <w:proofErr w:type="spellEnd"/>
      <w:r w:rsidRPr="007B3D6B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Pr="007B3D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Феликс И. Центральный банк Турции.</w:t>
      </w:r>
      <w:r w:rsidRPr="007B3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2023.</w:t>
      </w:r>
      <w:r w:rsidRPr="007B3D6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</w:t>
      </w:r>
      <w:r w:rsidRPr="007B3D6B">
        <w:rPr>
          <w:rFonts w:ascii="Times New Roman" w:hAnsi="Times New Roman" w:cs="Times New Roman"/>
          <w:color w:val="000000" w:themeColor="text1"/>
          <w:sz w:val="24"/>
          <w:szCs w:val="24"/>
        </w:rPr>
        <w:t>Fintech Regulation and Supervision Challenges within the Banking Industry: A Comparative Study within the G-20. Cham: Springer Nature Switzerland</w:t>
      </w:r>
      <w:r w:rsidR="00DE6B5B" w:rsidRPr="007B3D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867BD2" w:rsidRPr="007B3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2023,</w:t>
      </w:r>
      <w:r w:rsidRPr="007B3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453F" w:rsidRPr="007B3D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="0053453F" w:rsidRPr="007B3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867BD2" w:rsidRPr="007B3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7B3D6B">
        <w:rPr>
          <w:rFonts w:ascii="Times New Roman" w:hAnsi="Times New Roman" w:cs="Times New Roman"/>
          <w:color w:val="000000" w:themeColor="text1"/>
          <w:sz w:val="24"/>
          <w:szCs w:val="24"/>
        </w:rPr>
        <w:t>267-281</w:t>
      </w:r>
      <w:r w:rsidR="00867BD2" w:rsidRPr="007B3D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="00867BD2" w:rsidRPr="007B3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r w:rsidR="00867BD2" w:rsidRPr="007B3D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="00867BD2" w:rsidRPr="007B3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67BD2" w:rsidRPr="007B3D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тур</w:t>
      </w:r>
      <w:r w:rsidR="00867BD2" w:rsidRPr="007B3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spellStart"/>
      <w:r w:rsidR="00867BD2" w:rsidRPr="007B3D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яз</w:t>
      </w:r>
      <w:proofErr w:type="spellEnd"/>
      <w:r w:rsidR="00867BD2" w:rsidRPr="007B3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.]</w:t>
      </w:r>
      <w:r w:rsidR="00C469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C785AF8" w14:textId="65E9829A" w:rsidR="0055453D" w:rsidRPr="007B3D6B" w:rsidRDefault="0055453D" w:rsidP="00372574">
      <w:pPr>
        <w:pStyle w:val="a6"/>
        <w:numPr>
          <w:ilvl w:val="0"/>
          <w:numId w:val="5"/>
        </w:numPr>
        <w:tabs>
          <w:tab w:val="left" w:pos="426"/>
        </w:tabs>
        <w:spacing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D6B">
        <w:rPr>
          <w:rFonts w:ascii="Times New Roman" w:hAnsi="Times New Roman" w:cs="Times New Roman"/>
          <w:color w:val="000000" w:themeColor="text1"/>
          <w:sz w:val="24"/>
          <w:szCs w:val="24"/>
        </w:rPr>
        <w:t>Услу Хакан. Роль интеллектуального капитала в финансовом развитии: доказательства из банковского сектора Турции. 2022. (Competitiveness Review: An International Business Journal</w:t>
      </w:r>
      <w:r w:rsidR="00CA4C46" w:rsidRPr="007B3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2022,</w:t>
      </w:r>
      <w:r w:rsidRPr="007B3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453F" w:rsidRPr="007B3D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="0053453F" w:rsidRPr="007B3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7B3D6B">
        <w:rPr>
          <w:rFonts w:ascii="Times New Roman" w:hAnsi="Times New Roman" w:cs="Times New Roman"/>
          <w:color w:val="000000" w:themeColor="text1"/>
          <w:sz w:val="24"/>
          <w:szCs w:val="24"/>
        </w:rPr>
        <w:t>230-249</w:t>
      </w:r>
      <w:r w:rsidR="00CA4C46" w:rsidRPr="007B3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867BD2" w:rsidRPr="007B3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r w:rsidR="00867BD2" w:rsidRPr="007B3D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="00867BD2" w:rsidRPr="007B3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67BD2" w:rsidRPr="007B3D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тур</w:t>
      </w:r>
      <w:r w:rsidR="00867BD2" w:rsidRPr="007B3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spellStart"/>
      <w:r w:rsidR="00867BD2" w:rsidRPr="007B3D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яз</w:t>
      </w:r>
      <w:proofErr w:type="spellEnd"/>
      <w:r w:rsidR="00867BD2" w:rsidRPr="007B3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.]</w:t>
      </w:r>
    </w:p>
    <w:p w14:paraId="7A3D80A3" w14:textId="709F75AB" w:rsidR="00B2681C" w:rsidRPr="006F4A7C" w:rsidRDefault="00B2681C" w:rsidP="00372574">
      <w:pPr>
        <w:pStyle w:val="a6"/>
        <w:numPr>
          <w:ilvl w:val="0"/>
          <w:numId w:val="5"/>
        </w:numPr>
        <w:tabs>
          <w:tab w:val="left" w:pos="426"/>
        </w:tabs>
        <w:spacing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B3D6B">
        <w:rPr>
          <w:rFonts w:ascii="Times New Roman" w:hAnsi="Times New Roman" w:cs="Times New Roman"/>
          <w:sz w:val="24"/>
          <w:szCs w:val="24"/>
        </w:rPr>
        <w:t>Яш</w:t>
      </w:r>
      <w:r w:rsidR="0055453D" w:rsidRPr="007B3D6B">
        <w:rPr>
          <w:rFonts w:ascii="Times New Roman" w:hAnsi="Times New Roman" w:cs="Times New Roman"/>
          <w:sz w:val="24"/>
          <w:szCs w:val="24"/>
        </w:rPr>
        <w:t xml:space="preserve"> </w:t>
      </w:r>
      <w:r w:rsidRPr="007B3D6B">
        <w:rPr>
          <w:rFonts w:ascii="Times New Roman" w:hAnsi="Times New Roman" w:cs="Times New Roman"/>
          <w:sz w:val="24"/>
          <w:szCs w:val="24"/>
        </w:rPr>
        <w:t xml:space="preserve">Мурат, Ахмет Фарук Айсан. Центральный консультативный совет и новая структура шариатского управления для исламских банков в Турции: качественный подход. </w:t>
      </w:r>
      <w:r w:rsidR="0055453D" w:rsidRPr="007B3D6B">
        <w:rPr>
          <w:rFonts w:ascii="Times New Roman" w:hAnsi="Times New Roman" w:cs="Times New Roman"/>
          <w:sz w:val="24"/>
          <w:szCs w:val="24"/>
        </w:rPr>
        <w:t>2023</w:t>
      </w:r>
      <w:r w:rsidRPr="007B3D6B">
        <w:rPr>
          <w:rFonts w:ascii="Times New Roman" w:hAnsi="Times New Roman" w:cs="Times New Roman"/>
          <w:sz w:val="24"/>
          <w:szCs w:val="24"/>
        </w:rPr>
        <w:t xml:space="preserve">. </w:t>
      </w:r>
      <w:r w:rsidR="0055453D" w:rsidRPr="007B3D6B">
        <w:rPr>
          <w:rFonts w:ascii="Times New Roman" w:hAnsi="Times New Roman" w:cs="Times New Roman"/>
          <w:sz w:val="24"/>
          <w:szCs w:val="24"/>
        </w:rPr>
        <w:t>(</w:t>
      </w:r>
      <w:r w:rsidRPr="007B3D6B">
        <w:rPr>
          <w:rFonts w:ascii="Times New Roman" w:hAnsi="Times New Roman" w:cs="Times New Roman"/>
          <w:sz w:val="24"/>
          <w:szCs w:val="24"/>
        </w:rPr>
        <w:t>Routledge</w:t>
      </w:r>
      <w:r w:rsidR="00DE6B5B" w:rsidRPr="007B3D6B">
        <w:rPr>
          <w:rFonts w:ascii="Times New Roman" w:hAnsi="Times New Roman" w:cs="Times New Roman"/>
          <w:sz w:val="24"/>
          <w:szCs w:val="24"/>
          <w:lang w:val="ru-RU"/>
        </w:rPr>
        <w:t>, 2023,</w:t>
      </w:r>
      <w:r w:rsidRPr="007B3D6B">
        <w:rPr>
          <w:rFonts w:ascii="Times New Roman" w:hAnsi="Times New Roman" w:cs="Times New Roman"/>
          <w:sz w:val="24"/>
          <w:szCs w:val="24"/>
        </w:rPr>
        <w:t xml:space="preserve"> </w:t>
      </w:r>
      <w:r w:rsidR="0053453F" w:rsidRPr="007B3D6B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7B3D6B">
        <w:rPr>
          <w:rFonts w:ascii="Times New Roman" w:hAnsi="Times New Roman" w:cs="Times New Roman"/>
          <w:sz w:val="24"/>
          <w:szCs w:val="24"/>
        </w:rPr>
        <w:t>65-79</w:t>
      </w:r>
      <w:r w:rsidR="00DE6B5B" w:rsidRPr="007B3D6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867BD2" w:rsidRPr="007B3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r w:rsidR="00867BD2" w:rsidRPr="007B3D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 </w:t>
      </w:r>
      <w:proofErr w:type="spellStart"/>
      <w:r w:rsidR="00867BD2" w:rsidRPr="007B3D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тур.яз</w:t>
      </w:r>
      <w:proofErr w:type="spellEnd"/>
      <w:r w:rsidR="00867BD2" w:rsidRPr="007B3D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.]</w:t>
      </w:r>
      <w:r w:rsidR="00C469F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</w:p>
    <w:p w14:paraId="7D6AA5FD" w14:textId="77777777" w:rsidR="006F4A7C" w:rsidRPr="007B3D6B" w:rsidRDefault="006F4A7C" w:rsidP="006F4A7C">
      <w:pPr>
        <w:pStyle w:val="a6"/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10524A3" w14:textId="77777777" w:rsidR="0055453D" w:rsidRPr="00B2681C" w:rsidRDefault="0055453D" w:rsidP="00B268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F8B9A" w14:textId="2D1B89DC" w:rsidR="00AF372F" w:rsidRPr="0055453D" w:rsidRDefault="00AF372F" w:rsidP="00AF372F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4B85C9" w14:textId="77777777" w:rsidR="00AF372F" w:rsidRPr="0055453D" w:rsidRDefault="00AF372F" w:rsidP="00AF372F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0CBED8" w14:textId="123723F4" w:rsidR="00EE7E08" w:rsidRPr="00E01CEA" w:rsidRDefault="00EE7E08" w:rsidP="00E01C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06535133" w14:textId="77777777" w:rsidR="00EF40B9" w:rsidRPr="0055453D" w:rsidRDefault="00EF40B9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F40B9" w:rsidRPr="0055453D" w:rsidSect="00514FAF">
      <w:footerReference w:type="default" r:id="rId9"/>
      <w:pgSz w:w="11909" w:h="16834"/>
      <w:pgMar w:top="1134" w:right="1361" w:bottom="1134" w:left="136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48028" w14:textId="77777777" w:rsidR="00B534C4" w:rsidRDefault="00B534C4" w:rsidP="001E015B">
      <w:pPr>
        <w:spacing w:line="240" w:lineRule="auto"/>
      </w:pPr>
      <w:r>
        <w:separator/>
      </w:r>
    </w:p>
  </w:endnote>
  <w:endnote w:type="continuationSeparator" w:id="0">
    <w:p w14:paraId="3A88D9B2" w14:textId="77777777" w:rsidR="00B534C4" w:rsidRDefault="00B534C4" w:rsidP="001E0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DDB20" w14:textId="0F9E0B92" w:rsidR="00261540" w:rsidRDefault="002615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A69C9" w14:textId="77777777" w:rsidR="00B534C4" w:rsidRDefault="00B534C4" w:rsidP="001E015B">
      <w:pPr>
        <w:spacing w:line="240" w:lineRule="auto"/>
      </w:pPr>
      <w:r>
        <w:separator/>
      </w:r>
    </w:p>
  </w:footnote>
  <w:footnote w:type="continuationSeparator" w:id="0">
    <w:p w14:paraId="4DED1A80" w14:textId="77777777" w:rsidR="00B534C4" w:rsidRDefault="00B534C4" w:rsidP="001E01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0D98"/>
    <w:multiLevelType w:val="hybridMultilevel"/>
    <w:tmpl w:val="6BB22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34184"/>
    <w:multiLevelType w:val="hybridMultilevel"/>
    <w:tmpl w:val="0ACEEE64"/>
    <w:lvl w:ilvl="0" w:tplc="EA042A4C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F4562"/>
    <w:multiLevelType w:val="multilevel"/>
    <w:tmpl w:val="FD5C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67407"/>
    <w:multiLevelType w:val="hybridMultilevel"/>
    <w:tmpl w:val="78F83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F2D00"/>
    <w:multiLevelType w:val="hybridMultilevel"/>
    <w:tmpl w:val="69240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375179">
    <w:abstractNumId w:val="2"/>
  </w:num>
  <w:num w:numId="2" w16cid:durableId="1110198881">
    <w:abstractNumId w:val="3"/>
  </w:num>
  <w:num w:numId="3" w16cid:durableId="1737391004">
    <w:abstractNumId w:val="1"/>
  </w:num>
  <w:num w:numId="4" w16cid:durableId="1827434336">
    <w:abstractNumId w:val="0"/>
  </w:num>
  <w:num w:numId="5" w16cid:durableId="5815254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3A"/>
    <w:rsid w:val="000E14D5"/>
    <w:rsid w:val="001C764B"/>
    <w:rsid w:val="001E015B"/>
    <w:rsid w:val="002471A0"/>
    <w:rsid w:val="00261540"/>
    <w:rsid w:val="00264B04"/>
    <w:rsid w:val="002B2359"/>
    <w:rsid w:val="00315191"/>
    <w:rsid w:val="00343E08"/>
    <w:rsid w:val="00363B29"/>
    <w:rsid w:val="00372574"/>
    <w:rsid w:val="003C70A6"/>
    <w:rsid w:val="003D42F6"/>
    <w:rsid w:val="00437A8A"/>
    <w:rsid w:val="004D6C93"/>
    <w:rsid w:val="00514FAF"/>
    <w:rsid w:val="0053453F"/>
    <w:rsid w:val="0055453D"/>
    <w:rsid w:val="005663D0"/>
    <w:rsid w:val="006573CC"/>
    <w:rsid w:val="006632B0"/>
    <w:rsid w:val="00674FA4"/>
    <w:rsid w:val="006B5058"/>
    <w:rsid w:val="006F0E77"/>
    <w:rsid w:val="006F4A7C"/>
    <w:rsid w:val="00774EDA"/>
    <w:rsid w:val="00795076"/>
    <w:rsid w:val="007B3D6B"/>
    <w:rsid w:val="008534A2"/>
    <w:rsid w:val="00867BD2"/>
    <w:rsid w:val="00877266"/>
    <w:rsid w:val="008B47EE"/>
    <w:rsid w:val="008F0256"/>
    <w:rsid w:val="00964AC3"/>
    <w:rsid w:val="009870B3"/>
    <w:rsid w:val="009E2C92"/>
    <w:rsid w:val="009E2DB8"/>
    <w:rsid w:val="00A73DA0"/>
    <w:rsid w:val="00A76FAF"/>
    <w:rsid w:val="00A83E3A"/>
    <w:rsid w:val="00AB66F6"/>
    <w:rsid w:val="00AF372F"/>
    <w:rsid w:val="00AF56B5"/>
    <w:rsid w:val="00AF56F1"/>
    <w:rsid w:val="00B10125"/>
    <w:rsid w:val="00B162B1"/>
    <w:rsid w:val="00B2681C"/>
    <w:rsid w:val="00B45AA5"/>
    <w:rsid w:val="00B534C4"/>
    <w:rsid w:val="00B65EBE"/>
    <w:rsid w:val="00C221D1"/>
    <w:rsid w:val="00C469F5"/>
    <w:rsid w:val="00CA4C46"/>
    <w:rsid w:val="00D07080"/>
    <w:rsid w:val="00D22A3D"/>
    <w:rsid w:val="00D32AF6"/>
    <w:rsid w:val="00D956A8"/>
    <w:rsid w:val="00DD37C8"/>
    <w:rsid w:val="00DE6B5B"/>
    <w:rsid w:val="00E01CEA"/>
    <w:rsid w:val="00E157B0"/>
    <w:rsid w:val="00E520D9"/>
    <w:rsid w:val="00E632AD"/>
    <w:rsid w:val="00E8155C"/>
    <w:rsid w:val="00ED6C27"/>
    <w:rsid w:val="00EE7E08"/>
    <w:rsid w:val="00EF40B9"/>
    <w:rsid w:val="00F9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AADC8"/>
  <w15:docId w15:val="{47AF39DE-DAAB-46A8-A8EF-1649AF8F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tr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qFormat/>
    <w:rsid w:val="00514FA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14FAF"/>
    <w:pPr>
      <w:ind w:left="720"/>
      <w:contextualSpacing/>
    </w:pPr>
  </w:style>
  <w:style w:type="paragraph" w:customStyle="1" w:styleId="p1">
    <w:name w:val="p1"/>
    <w:basedOn w:val="a"/>
    <w:rsid w:val="0043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os-init">
    <w:name w:val="aos-init"/>
    <w:basedOn w:val="a"/>
    <w:rsid w:val="0043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1E015B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015B"/>
  </w:style>
  <w:style w:type="paragraph" w:styleId="a9">
    <w:name w:val="footer"/>
    <w:basedOn w:val="a"/>
    <w:link w:val="aa"/>
    <w:uiPriority w:val="99"/>
    <w:unhideWhenUsed/>
    <w:rsid w:val="001E015B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015B"/>
  </w:style>
  <w:style w:type="character" w:styleId="ab">
    <w:name w:val="Strong"/>
    <w:basedOn w:val="a0"/>
    <w:uiPriority w:val="22"/>
    <w:qFormat/>
    <w:rsid w:val="00261540"/>
    <w:rPr>
      <w:b/>
      <w:bCs/>
    </w:rPr>
  </w:style>
  <w:style w:type="character" w:styleId="ac">
    <w:name w:val="Emphasis"/>
    <w:basedOn w:val="a0"/>
    <w:uiPriority w:val="20"/>
    <w:qFormat/>
    <w:rsid w:val="00261540"/>
    <w:rPr>
      <w:i/>
      <w:iCs/>
    </w:rPr>
  </w:style>
  <w:style w:type="table" w:styleId="ad">
    <w:name w:val="Table Grid"/>
    <w:basedOn w:val="a1"/>
    <w:uiPriority w:val="39"/>
    <w:rsid w:val="00EF40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9E2C92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unhideWhenUsed/>
    <w:rsid w:val="00B2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9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rkancmn350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B8D09-D564-46AA-9141-D4FF1D1FFC5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Толстых</dc:creator>
  <cp:lastModifiedBy>Алексей Смирнов</cp:lastModifiedBy>
  <cp:revision>8</cp:revision>
  <dcterms:created xsi:type="dcterms:W3CDTF">2025-03-21T10:27:00Z</dcterms:created>
  <dcterms:modified xsi:type="dcterms:W3CDTF">2025-05-17T12:01:00Z</dcterms:modified>
</cp:coreProperties>
</file>