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5961C2" w:rsidR="00130241" w:rsidRDefault="00EA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A6818">
        <w:rPr>
          <w:b/>
          <w:color w:val="000000"/>
        </w:rPr>
        <w:t>Неферме</w:t>
      </w:r>
      <w:r w:rsidR="00A96753">
        <w:rPr>
          <w:b/>
          <w:color w:val="000000"/>
        </w:rPr>
        <w:t>н</w:t>
      </w:r>
      <w:r w:rsidRPr="00EA6818">
        <w:rPr>
          <w:b/>
          <w:color w:val="000000"/>
        </w:rPr>
        <w:t xml:space="preserve">тные </w:t>
      </w:r>
      <w:proofErr w:type="spellStart"/>
      <w:r w:rsidRPr="00EA6818">
        <w:rPr>
          <w:b/>
          <w:color w:val="000000"/>
        </w:rPr>
        <w:t>лактатные</w:t>
      </w:r>
      <w:proofErr w:type="spellEnd"/>
      <w:r w:rsidRPr="00EA6818">
        <w:rPr>
          <w:b/>
          <w:color w:val="000000"/>
        </w:rPr>
        <w:t xml:space="preserve"> сенсоры на основе полимера с дополнительными мембранами</w:t>
      </w:r>
      <w:r w:rsidRPr="00EA6818">
        <w:rPr>
          <w:b/>
          <w:color w:val="000000"/>
          <w:highlight w:val="yellow"/>
        </w:rPr>
        <w:t xml:space="preserve"> </w:t>
      </w:r>
    </w:p>
    <w:p w14:paraId="1809CBE8" w14:textId="1B38B54B" w:rsidR="00EA6818" w:rsidRPr="00EA6818" w:rsidRDefault="00EA6818" w:rsidP="00EA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EA6818">
        <w:rPr>
          <w:b/>
          <w:i/>
          <w:color w:val="000000"/>
        </w:rPr>
        <w:t>Прокудина И. А., Коростелёва Е.Р., Никитина В.Н.</w:t>
      </w:r>
    </w:p>
    <w:p w14:paraId="4AE04C43" w14:textId="77777777" w:rsidR="00EA6818" w:rsidRPr="00EA6818" w:rsidRDefault="00EA6818" w:rsidP="00EA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EA6818">
        <w:rPr>
          <w:bCs/>
          <w:i/>
          <w:color w:val="000000"/>
        </w:rPr>
        <w:t>Студент, 2 курс специалитета</w:t>
      </w:r>
    </w:p>
    <w:p w14:paraId="19DA7D09" w14:textId="77777777" w:rsidR="00EA6818" w:rsidRPr="00EA6818" w:rsidRDefault="00EA6818" w:rsidP="00EA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EA6818">
        <w:rPr>
          <w:bCs/>
          <w:i/>
          <w:color w:val="000000"/>
        </w:rPr>
        <w:t>Московский государственный университет имени М.В. Ломоносова,</w:t>
      </w:r>
    </w:p>
    <w:p w14:paraId="6DFB7BD0" w14:textId="57C8E1B3" w:rsidR="00EA6818" w:rsidRPr="00EA6818" w:rsidRDefault="00EA6818" w:rsidP="00EA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EA6818">
        <w:rPr>
          <w:bCs/>
          <w:i/>
          <w:color w:val="000000"/>
        </w:rPr>
        <w:t>химический факультет, Москва, Россия</w:t>
      </w:r>
    </w:p>
    <w:p w14:paraId="00000008" w14:textId="3F3EB787" w:rsidR="00130241" w:rsidRPr="004A36A5" w:rsidRDefault="00EA6818" w:rsidP="00EA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A6818">
        <w:rPr>
          <w:bCs/>
          <w:i/>
          <w:color w:val="000000"/>
          <w:lang w:val="en-US"/>
        </w:rPr>
        <w:t>E</w:t>
      </w:r>
      <w:r w:rsidRPr="004A36A5">
        <w:rPr>
          <w:bCs/>
          <w:i/>
          <w:color w:val="000000"/>
        </w:rPr>
        <w:t>-</w:t>
      </w:r>
      <w:r w:rsidRPr="00EA6818">
        <w:rPr>
          <w:bCs/>
          <w:i/>
          <w:color w:val="000000"/>
          <w:lang w:val="en-US"/>
        </w:rPr>
        <w:t>mail</w:t>
      </w:r>
      <w:r w:rsidRPr="004A36A5">
        <w:rPr>
          <w:bCs/>
          <w:i/>
          <w:color w:val="000000"/>
        </w:rPr>
        <w:t xml:space="preserve">: </w:t>
      </w:r>
      <w:proofErr w:type="spellStart"/>
      <w:r w:rsidRPr="00EA6818">
        <w:rPr>
          <w:bCs/>
          <w:i/>
          <w:color w:val="000000"/>
          <w:lang w:val="en-US"/>
        </w:rPr>
        <w:t>irina</w:t>
      </w:r>
      <w:proofErr w:type="spellEnd"/>
      <w:r w:rsidRPr="004A36A5">
        <w:rPr>
          <w:bCs/>
          <w:i/>
          <w:color w:val="000000"/>
        </w:rPr>
        <w:t>.</w:t>
      </w:r>
      <w:proofErr w:type="spellStart"/>
      <w:r w:rsidRPr="00EA6818">
        <w:rPr>
          <w:bCs/>
          <w:i/>
          <w:color w:val="000000"/>
          <w:lang w:val="en-US"/>
        </w:rPr>
        <w:t>prokudina</w:t>
      </w:r>
      <w:proofErr w:type="spellEnd"/>
      <w:r w:rsidRPr="004A36A5">
        <w:rPr>
          <w:bCs/>
          <w:i/>
          <w:color w:val="000000"/>
        </w:rPr>
        <w:t>@</w:t>
      </w:r>
      <w:r w:rsidRPr="00EA6818">
        <w:rPr>
          <w:bCs/>
          <w:i/>
          <w:color w:val="000000"/>
          <w:lang w:val="en-US"/>
        </w:rPr>
        <w:t>chemistry</w:t>
      </w:r>
      <w:r w:rsidRPr="004A36A5">
        <w:rPr>
          <w:bCs/>
          <w:i/>
          <w:color w:val="000000"/>
        </w:rPr>
        <w:t>.</w:t>
      </w:r>
      <w:proofErr w:type="spellStart"/>
      <w:r w:rsidRPr="00EA6818">
        <w:rPr>
          <w:bCs/>
          <w:i/>
          <w:color w:val="000000"/>
          <w:lang w:val="en-US"/>
        </w:rPr>
        <w:t>msu</w:t>
      </w:r>
      <w:proofErr w:type="spellEnd"/>
      <w:r w:rsidRPr="004A36A5">
        <w:rPr>
          <w:bCs/>
          <w:i/>
          <w:color w:val="000000"/>
        </w:rPr>
        <w:t>.</w:t>
      </w:r>
      <w:proofErr w:type="spellStart"/>
      <w:r w:rsidRPr="00EA6818">
        <w:rPr>
          <w:bCs/>
          <w:i/>
          <w:color w:val="000000"/>
          <w:lang w:val="en-US"/>
        </w:rPr>
        <w:t>ru</w:t>
      </w:r>
      <w:proofErr w:type="spellEnd"/>
      <w:r w:rsidRPr="004A36A5">
        <w:rPr>
          <w:b/>
          <w:i/>
          <w:color w:val="000000"/>
          <w:highlight w:val="yellow"/>
        </w:rPr>
        <w:t xml:space="preserve"> </w:t>
      </w:r>
    </w:p>
    <w:p w14:paraId="376F1367" w14:textId="417AE19F" w:rsidR="00EA6818" w:rsidRPr="00EA6818" w:rsidRDefault="00EA6818" w:rsidP="00DB3E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A6818">
        <w:rPr>
          <w:color w:val="000000"/>
        </w:rPr>
        <w:t>Лактат – это</w:t>
      </w:r>
      <w:r w:rsidR="004A36A5">
        <w:rPr>
          <w:color w:val="000000"/>
        </w:rPr>
        <w:t xml:space="preserve"> </w:t>
      </w:r>
      <w:r w:rsidRPr="00EA6818">
        <w:rPr>
          <w:color w:val="000000"/>
        </w:rPr>
        <w:t>соль молочной кислоты, котор</w:t>
      </w:r>
      <w:r w:rsidR="004A36A5">
        <w:rPr>
          <w:color w:val="000000"/>
        </w:rPr>
        <w:t>ая</w:t>
      </w:r>
      <w:r w:rsidRPr="00EA6818">
        <w:rPr>
          <w:color w:val="000000"/>
        </w:rPr>
        <w:t xml:space="preserve"> является продуктом</w:t>
      </w:r>
      <w:r w:rsidR="004A36A5">
        <w:rPr>
          <w:color w:val="000000"/>
        </w:rPr>
        <w:t xml:space="preserve"> анаэробного</w:t>
      </w:r>
      <w:r w:rsidRPr="00EA6818">
        <w:rPr>
          <w:color w:val="000000"/>
        </w:rPr>
        <w:t xml:space="preserve"> метаболизма потовых желез. </w:t>
      </w:r>
      <w:r w:rsidR="004A36A5">
        <w:rPr>
          <w:color w:val="000000"/>
        </w:rPr>
        <w:t>Определение концентрации</w:t>
      </w:r>
      <w:r w:rsidRPr="00EA6818">
        <w:rPr>
          <w:color w:val="000000"/>
        </w:rPr>
        <w:t xml:space="preserve"> лактата в крови</w:t>
      </w:r>
      <w:r w:rsidR="004A36A5">
        <w:rPr>
          <w:color w:val="000000"/>
        </w:rPr>
        <w:t xml:space="preserve"> </w:t>
      </w:r>
      <w:r w:rsidR="008F1931">
        <w:rPr>
          <w:color w:val="000000"/>
        </w:rPr>
        <w:t>и</w:t>
      </w:r>
      <w:r w:rsidR="004A36A5">
        <w:rPr>
          <w:color w:val="000000"/>
        </w:rPr>
        <w:t>ли поте</w:t>
      </w:r>
      <w:r w:rsidRPr="00EA6818">
        <w:rPr>
          <w:color w:val="000000"/>
        </w:rPr>
        <w:t xml:space="preserve"> помогает </w:t>
      </w:r>
      <w:r w:rsidR="004A36A5">
        <w:rPr>
          <w:color w:val="000000"/>
        </w:rPr>
        <w:t xml:space="preserve">оценить уровень тренированности спортсменов, </w:t>
      </w:r>
      <w:r w:rsidR="004A36A5" w:rsidRPr="00EA6818">
        <w:rPr>
          <w:color w:val="000000"/>
        </w:rPr>
        <w:t>эффективность выполнения тренировочных программ,</w:t>
      </w:r>
      <w:r w:rsidR="004A36A5">
        <w:rPr>
          <w:color w:val="000000"/>
        </w:rPr>
        <w:t xml:space="preserve"> скорректировать </w:t>
      </w:r>
      <w:r w:rsidR="004A36A5" w:rsidRPr="00EA6818">
        <w:rPr>
          <w:color w:val="000000"/>
        </w:rPr>
        <w:t>интенсивность нагрузок</w:t>
      </w:r>
      <w:r w:rsidRPr="00EA6818">
        <w:rPr>
          <w:color w:val="000000"/>
        </w:rPr>
        <w:t>. Таким образом, разработка электрохимических сенсоров для анализа</w:t>
      </w:r>
      <w:r w:rsidR="00900BB2" w:rsidRPr="00900BB2">
        <w:rPr>
          <w:color w:val="000000"/>
        </w:rPr>
        <w:t xml:space="preserve"> </w:t>
      </w:r>
      <w:r w:rsidR="004A36A5">
        <w:rPr>
          <w:color w:val="000000"/>
        </w:rPr>
        <w:t xml:space="preserve">пота на содержание лактата </w:t>
      </w:r>
      <w:r w:rsidR="004A36A5" w:rsidRPr="00EA6818">
        <w:rPr>
          <w:color w:val="000000"/>
        </w:rPr>
        <w:t>является актуальной задачей.</w:t>
      </w:r>
    </w:p>
    <w:p w14:paraId="6BE25F08" w14:textId="48135B50" w:rsidR="00E4481B" w:rsidRDefault="004A36A5" w:rsidP="00DB3E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Работа посвящена разработке неферментных сенсоров</w:t>
      </w:r>
      <w:r w:rsidR="00EA6818" w:rsidRPr="00EA6818">
        <w:rPr>
          <w:color w:val="000000"/>
        </w:rPr>
        <w:t>, преимуществ</w:t>
      </w:r>
      <w:r>
        <w:rPr>
          <w:color w:val="000000"/>
        </w:rPr>
        <w:t>о</w:t>
      </w:r>
      <w:r w:rsidR="00EA6818" w:rsidRPr="00EA6818">
        <w:rPr>
          <w:color w:val="000000"/>
        </w:rPr>
        <w:t xml:space="preserve"> которых заключается в отсутствии зависимости от активности ферментов. Для создания таких сенсоров использ</w:t>
      </w:r>
      <w:r>
        <w:rPr>
          <w:color w:val="000000"/>
        </w:rPr>
        <w:t>овали</w:t>
      </w:r>
      <w:r w:rsidR="00EA6818" w:rsidRPr="00EA6818">
        <w:rPr>
          <w:color w:val="000000"/>
        </w:rPr>
        <w:t xml:space="preserve"> проводящи</w:t>
      </w:r>
      <w:r>
        <w:rPr>
          <w:color w:val="000000"/>
        </w:rPr>
        <w:t>й</w:t>
      </w:r>
      <w:r w:rsidR="00EA6818" w:rsidRPr="00EA6818">
        <w:rPr>
          <w:color w:val="000000"/>
        </w:rPr>
        <w:t xml:space="preserve"> полимер</w:t>
      </w:r>
      <w:r>
        <w:rPr>
          <w:color w:val="000000"/>
        </w:rPr>
        <w:t>:</w:t>
      </w:r>
      <w:r w:rsidRPr="004A36A5">
        <w:rPr>
          <w:color w:val="000000"/>
        </w:rPr>
        <w:t xml:space="preserve"> </w:t>
      </w:r>
      <w:r>
        <w:rPr>
          <w:color w:val="000000"/>
        </w:rPr>
        <w:t>на поверхности планарного электрода была произведена электрохимическая полимеризация 3-аминофенилборной кислоты</w:t>
      </w:r>
      <w:r w:rsidR="00E4481B">
        <w:rPr>
          <w:color w:val="000000"/>
        </w:rPr>
        <w:t>.</w:t>
      </w:r>
      <w:r>
        <w:rPr>
          <w:color w:val="000000"/>
        </w:rPr>
        <w:t xml:space="preserve"> По аналогии с распространенным для ферментных сенсоров подходом </w:t>
      </w:r>
      <w:r w:rsidRPr="00533675">
        <w:rPr>
          <w:color w:val="000000" w:themeColor="text1"/>
        </w:rPr>
        <w:t>сенсорный</w:t>
      </w:r>
      <w:r>
        <w:rPr>
          <w:color w:val="000000"/>
        </w:rPr>
        <w:t xml:space="preserve"> слой покрывали дополнительными мембранами.</w:t>
      </w:r>
    </w:p>
    <w:p w14:paraId="5D344218" w14:textId="3E48E358" w:rsidR="00E4481B" w:rsidRDefault="00900BB2" w:rsidP="00DB3E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работы является изучение влияния мембран на основе полиэлектролитов различного заряда на характеристики сенсора. </w:t>
      </w:r>
    </w:p>
    <w:p w14:paraId="7AD051BC" w14:textId="5A50DD5B" w:rsidR="003B1743" w:rsidRDefault="003B1743" w:rsidP="002D054B">
      <w:pPr>
        <w:ind w:firstLine="397"/>
        <w:jc w:val="both"/>
      </w:pPr>
      <w:r>
        <w:rPr>
          <w:color w:val="000000"/>
        </w:rPr>
        <w:t xml:space="preserve">На рабочие электроды наносили мембраны на основе отрицательно заряженного </w:t>
      </w:r>
      <w:proofErr w:type="spellStart"/>
      <w:r>
        <w:rPr>
          <w:color w:val="000000"/>
        </w:rPr>
        <w:t>перфторсульфонированного</w:t>
      </w:r>
      <w:proofErr w:type="spellEnd"/>
      <w:r>
        <w:rPr>
          <w:color w:val="000000"/>
        </w:rPr>
        <w:t xml:space="preserve"> полимера (ПФС) и положительно заряженного хитозана. Изуч</w:t>
      </w:r>
      <w:r w:rsidR="00B96DB1">
        <w:rPr>
          <w:color w:val="000000"/>
        </w:rPr>
        <w:t>али</w:t>
      </w:r>
      <w:r>
        <w:rPr>
          <w:color w:val="000000"/>
        </w:rPr>
        <w:t xml:space="preserve"> аналитические характеристики созданных сенсоров на лактат в режиме проточно-инжекционной </w:t>
      </w:r>
      <w:proofErr w:type="spellStart"/>
      <w:r>
        <w:rPr>
          <w:color w:val="000000"/>
        </w:rPr>
        <w:t>амперометрии</w:t>
      </w:r>
      <w:proofErr w:type="spellEnd"/>
      <w:r>
        <w:rPr>
          <w:color w:val="000000"/>
        </w:rPr>
        <w:t xml:space="preserve"> в</w:t>
      </w:r>
      <w:r w:rsidR="00B96DB1">
        <w:rPr>
          <w:color w:val="000000"/>
        </w:rPr>
        <w:t xml:space="preserve"> фосфатном буферном </w:t>
      </w:r>
      <w:r w:rsidR="00F22687">
        <w:rPr>
          <w:color w:val="000000"/>
        </w:rPr>
        <w:t>растворе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pH</w:t>
      </w:r>
      <w:r>
        <w:rPr>
          <w:color w:val="000000"/>
        </w:rPr>
        <w:t xml:space="preserve"> 6.0. Нанесение полимерных мембран на поверхность рабочего электрода позвол</w:t>
      </w:r>
      <w:r w:rsidR="00B96DB1">
        <w:rPr>
          <w:color w:val="000000"/>
        </w:rPr>
        <w:t xml:space="preserve">ило </w:t>
      </w:r>
      <w:r>
        <w:rPr>
          <w:color w:val="000000"/>
        </w:rPr>
        <w:t>влиять на чувствительность и диапазон определяемых концентраций</w:t>
      </w:r>
      <w:r w:rsidRPr="00DA59C0">
        <w:rPr>
          <w:color w:val="000000" w:themeColor="text1"/>
        </w:rPr>
        <w:t xml:space="preserve">. </w:t>
      </w:r>
      <w:r w:rsidR="00F22687">
        <w:rPr>
          <w:color w:val="000000"/>
        </w:rPr>
        <w:t>Однако</w:t>
      </w:r>
      <w:r w:rsidR="00DB3EB8">
        <w:rPr>
          <w:color w:val="000000"/>
        </w:rPr>
        <w:t xml:space="preserve"> нужно учесть, что</w:t>
      </w:r>
      <w:r w:rsidR="00F22687">
        <w:rPr>
          <w:color w:val="000000"/>
        </w:rPr>
        <w:t xml:space="preserve"> в поте содержится мешающий</w:t>
      </w:r>
      <w:r>
        <w:rPr>
          <w:color w:val="000000"/>
        </w:rPr>
        <w:t xml:space="preserve"> детекции</w:t>
      </w:r>
      <w:r w:rsidR="00F22687">
        <w:rPr>
          <w:color w:val="000000"/>
        </w:rPr>
        <w:t xml:space="preserve"> компонент</w:t>
      </w:r>
      <w:r w:rsidR="00DB3EB8">
        <w:rPr>
          <w:color w:val="000000"/>
        </w:rPr>
        <w:t xml:space="preserve"> – </w:t>
      </w:r>
      <w:r>
        <w:rPr>
          <w:color w:val="000000"/>
        </w:rPr>
        <w:t>хлорид натрия</w:t>
      </w:r>
      <w:r w:rsidR="00B96DB1" w:rsidRPr="00B96DB1">
        <w:rPr>
          <w:color w:val="000000"/>
        </w:rPr>
        <w:t xml:space="preserve">, </w:t>
      </w:r>
      <w:r w:rsidR="00B96DB1">
        <w:rPr>
          <w:color w:val="000000"/>
        </w:rPr>
        <w:t xml:space="preserve">в </w:t>
      </w:r>
      <w:r>
        <w:rPr>
          <w:color w:val="000000"/>
        </w:rPr>
        <w:t xml:space="preserve">связи с чем была также определена селективность сенсора по отношению к лактату относительно </w:t>
      </w:r>
      <w:r w:rsidR="00B96DB1">
        <w:rPr>
          <w:color w:val="000000"/>
        </w:rPr>
        <w:t>соли</w:t>
      </w:r>
      <w:r>
        <w:rPr>
          <w:color w:val="000000"/>
        </w:rPr>
        <w:t>.</w:t>
      </w:r>
      <w:r w:rsidRPr="003B1743">
        <w:t xml:space="preserve"> </w:t>
      </w:r>
      <w:r w:rsidR="002D054B">
        <w:t>В проточно-инжекционной системе отклики сенсора на лактат и хлорид разнонаправлены (в анодную и катодную область, соответственно). Показано, что при использовании хитозана, чувствительность к хлориду натрия снижается в 2.5 раза, что позволяет предположить, что отклик сенсора на соль в ПИА обусловлен катионом.</w:t>
      </w:r>
      <w:r w:rsidR="00BA3F5F">
        <w:t xml:space="preserve"> Однако при повышении концентрации полимера в мембране чувствительность к лактату также снижается. Несмотря на это, чувствительность разработанных сенсоров </w:t>
      </w:r>
      <w:r w:rsidR="004E6DEE">
        <w:t>к лактат-иону в среднем в 10 раз больше, чем к катионам.</w:t>
      </w:r>
      <w:r>
        <w:t xml:space="preserve"> </w:t>
      </w:r>
    </w:p>
    <w:p w14:paraId="600D67D9" w14:textId="53673794" w:rsidR="001D7155" w:rsidRPr="00BA3F5F" w:rsidRDefault="001D7155" w:rsidP="00DB3E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A3F5F">
        <w:rPr>
          <w:i/>
          <w:iCs/>
        </w:rPr>
        <w:t>Работа выполнена при финансовой поддержке РНФ, грант № 24-23-00250 (https://rscf.ru/project/24-23-00250/).</w:t>
      </w:r>
    </w:p>
    <w:p w14:paraId="26083370" w14:textId="4A23AACE" w:rsidR="00EA6818" w:rsidRPr="00CC7F78" w:rsidRDefault="00EA6818" w:rsidP="00DB3E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AD409CD" w14:textId="77777777" w:rsidR="00900BB2" w:rsidRPr="00A96753" w:rsidRDefault="00900BB2" w:rsidP="00DB3E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D5DF2EF" w14:textId="2143252E" w:rsidR="00900BB2" w:rsidRDefault="00900BB2" w:rsidP="00DB3E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96753">
        <w:rPr>
          <w:color w:val="000000"/>
          <w:lang w:val="en-US"/>
        </w:rPr>
        <w:t xml:space="preserve">1. </w:t>
      </w:r>
      <w:r w:rsidRPr="00900BB2">
        <w:rPr>
          <w:color w:val="000000"/>
          <w:lang w:val="en-US"/>
        </w:rPr>
        <w:t>Vita</w:t>
      </w:r>
      <w:r w:rsidRPr="00A96753">
        <w:rPr>
          <w:color w:val="000000"/>
          <w:lang w:val="en-US"/>
        </w:rPr>
        <w:t xml:space="preserve"> </w:t>
      </w:r>
      <w:r w:rsidRPr="00900BB2">
        <w:rPr>
          <w:color w:val="000000"/>
          <w:lang w:val="en-US"/>
        </w:rPr>
        <w:t>N</w:t>
      </w:r>
      <w:r w:rsidRPr="00A96753">
        <w:rPr>
          <w:color w:val="000000"/>
          <w:lang w:val="en-US"/>
        </w:rPr>
        <w:t xml:space="preserve">. </w:t>
      </w:r>
      <w:r w:rsidRPr="00900BB2">
        <w:rPr>
          <w:color w:val="000000"/>
          <w:lang w:val="en-US"/>
        </w:rPr>
        <w:t>Nikitina</w:t>
      </w:r>
      <w:r w:rsidRPr="00A96753">
        <w:rPr>
          <w:color w:val="000000"/>
          <w:lang w:val="en-US"/>
        </w:rPr>
        <w:t xml:space="preserve">, </w:t>
      </w:r>
      <w:r w:rsidRPr="00900BB2">
        <w:rPr>
          <w:color w:val="000000"/>
          <w:lang w:val="en-US"/>
        </w:rPr>
        <w:t>Ekaterina</w:t>
      </w:r>
      <w:r w:rsidRPr="00A96753">
        <w:rPr>
          <w:color w:val="000000"/>
          <w:lang w:val="en-US"/>
        </w:rPr>
        <w:t xml:space="preserve"> </w:t>
      </w:r>
      <w:r w:rsidRPr="00900BB2">
        <w:rPr>
          <w:color w:val="000000"/>
          <w:lang w:val="en-US"/>
        </w:rPr>
        <w:t>D</w:t>
      </w:r>
      <w:r w:rsidRPr="00A96753">
        <w:rPr>
          <w:color w:val="000000"/>
          <w:lang w:val="en-US"/>
        </w:rPr>
        <w:t xml:space="preserve">. </w:t>
      </w:r>
      <w:r w:rsidRPr="00900BB2">
        <w:rPr>
          <w:color w:val="000000"/>
          <w:lang w:val="en-US"/>
        </w:rPr>
        <w:t>Maksimova</w:t>
      </w:r>
      <w:r w:rsidRPr="00A96753">
        <w:rPr>
          <w:color w:val="000000"/>
          <w:lang w:val="en-US"/>
        </w:rPr>
        <w:t xml:space="preserve">, </w:t>
      </w:r>
      <w:r w:rsidRPr="00900BB2">
        <w:rPr>
          <w:color w:val="000000"/>
          <w:lang w:val="en-US"/>
        </w:rPr>
        <w:t>Marina</w:t>
      </w:r>
      <w:r w:rsidRPr="00A96753">
        <w:rPr>
          <w:color w:val="000000"/>
          <w:lang w:val="en-US"/>
        </w:rPr>
        <w:t xml:space="preserve"> </w:t>
      </w:r>
      <w:r w:rsidRPr="00900BB2">
        <w:rPr>
          <w:color w:val="000000"/>
          <w:lang w:val="en-US"/>
        </w:rPr>
        <w:t>D</w:t>
      </w:r>
      <w:r w:rsidRPr="00A96753">
        <w:rPr>
          <w:color w:val="000000"/>
          <w:lang w:val="en-US"/>
        </w:rPr>
        <w:t xml:space="preserve">. </w:t>
      </w:r>
      <w:proofErr w:type="spellStart"/>
      <w:r w:rsidRPr="00900BB2">
        <w:rPr>
          <w:color w:val="000000"/>
          <w:lang w:val="en-US"/>
        </w:rPr>
        <w:t>Zavolskova</w:t>
      </w:r>
      <w:proofErr w:type="spellEnd"/>
      <w:r w:rsidRPr="00A96753">
        <w:rPr>
          <w:color w:val="000000"/>
          <w:lang w:val="en-US"/>
        </w:rPr>
        <w:t xml:space="preserve">, </w:t>
      </w:r>
      <w:proofErr w:type="spellStart"/>
      <w:r w:rsidRPr="00900BB2">
        <w:rPr>
          <w:color w:val="000000"/>
          <w:lang w:val="en-US"/>
        </w:rPr>
        <w:t>Arkady</w:t>
      </w:r>
      <w:proofErr w:type="spellEnd"/>
      <w:r w:rsidRPr="00A96753">
        <w:rPr>
          <w:color w:val="000000"/>
          <w:lang w:val="en-US"/>
        </w:rPr>
        <w:t xml:space="preserve"> </w:t>
      </w:r>
      <w:r w:rsidRPr="00900BB2">
        <w:rPr>
          <w:color w:val="000000"/>
          <w:lang w:val="en-US"/>
        </w:rPr>
        <w:t>A</w:t>
      </w:r>
      <w:r w:rsidRPr="00A96753">
        <w:rPr>
          <w:color w:val="000000"/>
          <w:lang w:val="en-US"/>
        </w:rPr>
        <w:t xml:space="preserve">. </w:t>
      </w:r>
      <w:proofErr w:type="spellStart"/>
      <w:r w:rsidRPr="00900BB2">
        <w:rPr>
          <w:color w:val="000000"/>
          <w:lang w:val="en-US"/>
        </w:rPr>
        <w:t>Karyakin</w:t>
      </w:r>
      <w:proofErr w:type="spellEnd"/>
      <w:r w:rsidRPr="00A96753">
        <w:rPr>
          <w:color w:val="000000"/>
          <w:lang w:val="en-US"/>
        </w:rPr>
        <w:t xml:space="preserve">. </w:t>
      </w:r>
      <w:r w:rsidRPr="00900BB2">
        <w:rPr>
          <w:color w:val="000000"/>
          <w:lang w:val="en-US"/>
        </w:rPr>
        <w:t>Flow injection amperometry as an alternative to potentiometry for solid contact ion-selective membrane-based electrodes</w:t>
      </w:r>
      <w:r w:rsidRPr="00E81D35">
        <w:rPr>
          <w:color w:val="000000"/>
          <w:lang w:val="en-US"/>
        </w:rPr>
        <w:t xml:space="preserve">// </w:t>
      </w:r>
      <w:proofErr w:type="spellStart"/>
      <w:r w:rsidRPr="00900BB2">
        <w:rPr>
          <w:color w:val="000000"/>
          <w:lang w:val="en-US"/>
        </w:rPr>
        <w:t>Electrochimica</w:t>
      </w:r>
      <w:proofErr w:type="spellEnd"/>
      <w:r w:rsidRPr="00900BB2">
        <w:rPr>
          <w:color w:val="000000"/>
          <w:lang w:val="en-US"/>
        </w:rPr>
        <w:t xml:space="preserve"> Acta. – 2021. – </w:t>
      </w:r>
      <w:r>
        <w:rPr>
          <w:color w:val="000000"/>
          <w:lang w:val="en-US"/>
        </w:rPr>
        <w:t>V</w:t>
      </w:r>
      <w:r w:rsidRPr="00900BB2">
        <w:rPr>
          <w:color w:val="000000"/>
          <w:lang w:val="en-US"/>
        </w:rPr>
        <w:t xml:space="preserve">. 377. – </w:t>
      </w:r>
      <w:r>
        <w:rPr>
          <w:color w:val="000000"/>
          <w:lang w:val="en-US"/>
        </w:rPr>
        <w:t>P</w:t>
      </w:r>
      <w:r w:rsidRPr="00900BB2">
        <w:rPr>
          <w:color w:val="000000"/>
          <w:lang w:val="en-US"/>
        </w:rPr>
        <w:t>. 138074</w:t>
      </w:r>
      <w:r w:rsidRPr="00E81D35">
        <w:rPr>
          <w:color w:val="000000"/>
          <w:lang w:val="en-US"/>
        </w:rPr>
        <w:t>.</w:t>
      </w:r>
    </w:p>
    <w:p w14:paraId="27F61002" w14:textId="77777777" w:rsidR="00DA59C0" w:rsidRPr="00E81D35" w:rsidRDefault="00DA59C0" w:rsidP="00900B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43C5D3B0" w14:textId="77777777" w:rsidR="00EA6818" w:rsidRPr="00900BB2" w:rsidRDefault="00EA6818" w:rsidP="00EA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</w:p>
    <w:p w14:paraId="5D05BA7F" w14:textId="77777777" w:rsidR="00EA6818" w:rsidRPr="00900BB2" w:rsidRDefault="00EA6818" w:rsidP="00EA68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</w:p>
    <w:sectPr w:rsidR="00EA6818" w:rsidRPr="00900BB2" w:rsidSect="002F063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liver">
    <w:altName w:val="Cambria"/>
    <w:panose1 w:val="00000000000000000000"/>
    <w:charset w:val="00"/>
    <w:family w:val="roman"/>
    <w:notTrueType/>
    <w:pitch w:val="default"/>
  </w:font>
  <w:font w:name="MTSY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7155"/>
    <w:rsid w:val="001E61C2"/>
    <w:rsid w:val="001F0493"/>
    <w:rsid w:val="0022260A"/>
    <w:rsid w:val="002264EE"/>
    <w:rsid w:val="0023307C"/>
    <w:rsid w:val="002D054B"/>
    <w:rsid w:val="002F063E"/>
    <w:rsid w:val="0030579F"/>
    <w:rsid w:val="0031361E"/>
    <w:rsid w:val="00391C38"/>
    <w:rsid w:val="003A0227"/>
    <w:rsid w:val="003B1743"/>
    <w:rsid w:val="003B76D6"/>
    <w:rsid w:val="003D57AF"/>
    <w:rsid w:val="003E2601"/>
    <w:rsid w:val="003F4E6B"/>
    <w:rsid w:val="004724EC"/>
    <w:rsid w:val="004A26A3"/>
    <w:rsid w:val="004A36A5"/>
    <w:rsid w:val="004E6DEE"/>
    <w:rsid w:val="004F0EDF"/>
    <w:rsid w:val="00522BF1"/>
    <w:rsid w:val="00533675"/>
    <w:rsid w:val="00590166"/>
    <w:rsid w:val="005D022B"/>
    <w:rsid w:val="005E34B2"/>
    <w:rsid w:val="005E5BE9"/>
    <w:rsid w:val="0069427D"/>
    <w:rsid w:val="006B6C51"/>
    <w:rsid w:val="006F7A19"/>
    <w:rsid w:val="007213E1"/>
    <w:rsid w:val="00775389"/>
    <w:rsid w:val="00797838"/>
    <w:rsid w:val="007C36D8"/>
    <w:rsid w:val="007F2744"/>
    <w:rsid w:val="008931BE"/>
    <w:rsid w:val="008C67E3"/>
    <w:rsid w:val="008F1931"/>
    <w:rsid w:val="00900BB2"/>
    <w:rsid w:val="00914205"/>
    <w:rsid w:val="00921D45"/>
    <w:rsid w:val="009426C0"/>
    <w:rsid w:val="00980A65"/>
    <w:rsid w:val="009A66DB"/>
    <w:rsid w:val="009B2F80"/>
    <w:rsid w:val="009B3300"/>
    <w:rsid w:val="009B58C9"/>
    <w:rsid w:val="009F3380"/>
    <w:rsid w:val="00A02163"/>
    <w:rsid w:val="00A314FE"/>
    <w:rsid w:val="00A96753"/>
    <w:rsid w:val="00AD7380"/>
    <w:rsid w:val="00AF6B1A"/>
    <w:rsid w:val="00B96DB1"/>
    <w:rsid w:val="00BA3F5F"/>
    <w:rsid w:val="00BF36F8"/>
    <w:rsid w:val="00BF4622"/>
    <w:rsid w:val="00C80BA7"/>
    <w:rsid w:val="00C844E2"/>
    <w:rsid w:val="00CC7F78"/>
    <w:rsid w:val="00CD00B1"/>
    <w:rsid w:val="00D22306"/>
    <w:rsid w:val="00D42542"/>
    <w:rsid w:val="00D8121C"/>
    <w:rsid w:val="00DA59C0"/>
    <w:rsid w:val="00DB3EB8"/>
    <w:rsid w:val="00E22189"/>
    <w:rsid w:val="00E4481B"/>
    <w:rsid w:val="00E74069"/>
    <w:rsid w:val="00E81D35"/>
    <w:rsid w:val="00EA6818"/>
    <w:rsid w:val="00EB1F49"/>
    <w:rsid w:val="00EB362B"/>
    <w:rsid w:val="00F22687"/>
    <w:rsid w:val="00F865B3"/>
    <w:rsid w:val="00F96D1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0B9D6CF7-299C-4260-92E7-C44063F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47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C7F78"/>
    <w:rPr>
      <w:rFonts w:ascii="Gulliver" w:hAnsi="Gulliver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a0"/>
    <w:rsid w:val="00CC7F78"/>
    <w:rPr>
      <w:rFonts w:ascii="MTSY" w:hAnsi="MTSY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Прокудина</cp:lastModifiedBy>
  <cp:revision>2</cp:revision>
  <cp:lastPrinted>2025-02-27T12:40:00Z</cp:lastPrinted>
  <dcterms:created xsi:type="dcterms:W3CDTF">2025-03-03T16:44:00Z</dcterms:created>
  <dcterms:modified xsi:type="dcterms:W3CDTF">2025-03-03T16:44:00Z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