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CC5F30" w:rsidR="00130241" w:rsidRDefault="00F23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А</w:t>
      </w:r>
      <w:r w:rsidR="00531F2A">
        <w:rPr>
          <w:b/>
          <w:color w:val="000000"/>
        </w:rPr>
        <w:t>нализ кислотных центров в оксиде графена</w:t>
      </w:r>
      <w:r>
        <w:rPr>
          <w:b/>
          <w:color w:val="000000"/>
        </w:rPr>
        <w:t>: топохимические реакции.</w:t>
      </w:r>
    </w:p>
    <w:p w14:paraId="00000002" w14:textId="6A375110" w:rsidR="00130241" w:rsidRDefault="00531F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Ратова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Д-М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Каплин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6D873AB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31F2A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3C53A72E" w14:textId="1382ED22" w:rsidR="00AD7380" w:rsidRDefault="00EB1F49" w:rsidP="00531F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3608B8F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531F2A" w:rsidRPr="00531F2A">
        <w:rPr>
          <w:i/>
          <w:color w:val="000000"/>
          <w:u w:val="single"/>
        </w:rPr>
        <w:t xml:space="preserve"> </w:t>
      </w:r>
      <w:proofErr w:type="spellStart"/>
      <w:r w:rsidR="00531F2A">
        <w:rPr>
          <w:i/>
          <w:color w:val="000000"/>
          <w:u w:val="single"/>
          <w:lang w:val="en-US"/>
        </w:rPr>
        <w:t>darmarrat</w:t>
      </w:r>
      <w:proofErr w:type="spellEnd"/>
      <w:r w:rsidR="00531F2A" w:rsidRPr="00531F2A">
        <w:rPr>
          <w:i/>
          <w:color w:val="000000"/>
          <w:u w:val="single"/>
        </w:rPr>
        <w:t>@</w:t>
      </w:r>
      <w:proofErr w:type="spellStart"/>
      <w:r w:rsidR="00531F2A">
        <w:rPr>
          <w:i/>
          <w:color w:val="000000"/>
          <w:u w:val="single"/>
          <w:lang w:val="en-US"/>
        </w:rPr>
        <w:t>gmail</w:t>
      </w:r>
      <w:proofErr w:type="spellEnd"/>
      <w:r w:rsidR="00531F2A" w:rsidRPr="00531F2A">
        <w:rPr>
          <w:i/>
          <w:color w:val="000000"/>
          <w:u w:val="single"/>
        </w:rPr>
        <w:t>.</w:t>
      </w:r>
      <w:r w:rsidR="00531F2A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2D98F1A9" w14:textId="2538771C" w:rsidR="003372A6" w:rsidRDefault="00242C1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Развитие аналитического приборостроения в конце 60-х годов обеспечило прорыв в области изучения химии и физики поверхности твердого тела. Появление первых ИК</w:t>
      </w:r>
      <w:r w:rsidR="00F23389">
        <w:rPr>
          <w:color w:val="000000"/>
        </w:rPr>
        <w:t>–</w:t>
      </w:r>
      <w:r>
        <w:rPr>
          <w:color w:val="000000"/>
        </w:rPr>
        <w:t xml:space="preserve">спектрометров и дальнейшее развитие эмиссионных спектрометров открыло путь к более детальному изучению поверхностей материалов </w:t>
      </w:r>
      <w:r w:rsidR="00E31D36">
        <w:rPr>
          <w:color w:val="000000"/>
        </w:rPr>
        <w:t>и</w:t>
      </w:r>
      <w:r>
        <w:rPr>
          <w:color w:val="000000"/>
        </w:rPr>
        <w:t xml:space="preserve"> их активных центров.</w:t>
      </w:r>
      <w:r w:rsidR="00E31D36">
        <w:rPr>
          <w:color w:val="000000"/>
        </w:rPr>
        <w:t xml:space="preserve"> Однако, не смотря на прорыв в изучении химии поверхности, оксид графена (ОГ) все еще остается слабо исследованным с точки зрения его структуры и химических свойств. ОГ — сложный, гетерогенный</w:t>
      </w:r>
      <w:r w:rsidR="00F23389">
        <w:rPr>
          <w:color w:val="000000"/>
        </w:rPr>
        <w:t>,</w:t>
      </w:r>
      <w:r w:rsidR="00E31D36">
        <w:rPr>
          <w:color w:val="000000"/>
        </w:rPr>
        <w:t xml:space="preserve"> 2</w:t>
      </w:r>
      <w:r w:rsidR="00E31D36">
        <w:rPr>
          <w:color w:val="000000"/>
          <w:lang w:val="en-US"/>
        </w:rPr>
        <w:t>D</w:t>
      </w:r>
      <w:r w:rsidR="00E31D36">
        <w:rPr>
          <w:color w:val="000000"/>
        </w:rPr>
        <w:t xml:space="preserve">-материал с широким распределением </w:t>
      </w:r>
      <w:r w:rsidR="00F23389">
        <w:rPr>
          <w:color w:val="000000"/>
        </w:rPr>
        <w:t xml:space="preserve">частиц </w:t>
      </w:r>
      <w:r w:rsidR="00E31D36">
        <w:rPr>
          <w:color w:val="000000"/>
        </w:rPr>
        <w:t xml:space="preserve">по размерам и большим количеством дефектов в </w:t>
      </w:r>
      <w:proofErr w:type="spellStart"/>
      <w:r w:rsidR="00E31D36">
        <w:rPr>
          <w:color w:val="000000"/>
        </w:rPr>
        <w:t>графеноподобной</w:t>
      </w:r>
      <w:proofErr w:type="spellEnd"/>
      <w:r w:rsidR="00E31D36">
        <w:rPr>
          <w:color w:val="000000"/>
        </w:rPr>
        <w:t xml:space="preserve"> плоскости</w:t>
      </w:r>
      <w:r w:rsidR="00F23389">
        <w:rPr>
          <w:color w:val="000000"/>
        </w:rPr>
        <w:t xml:space="preserve"> наряду с окисленными участками. Эти характеристики</w:t>
      </w:r>
      <w:r w:rsidR="00E31D36">
        <w:rPr>
          <w:color w:val="000000"/>
        </w:rPr>
        <w:t xml:space="preserve"> значительно затрудняет систематизацию</w:t>
      </w:r>
      <w:r w:rsidR="00F23389">
        <w:rPr>
          <w:color w:val="000000"/>
        </w:rPr>
        <w:t xml:space="preserve"> материалов</w:t>
      </w:r>
      <w:r w:rsidR="00E31D36">
        <w:rPr>
          <w:color w:val="000000"/>
        </w:rPr>
        <w:t xml:space="preserve"> и </w:t>
      </w:r>
      <w:r w:rsidR="00F23389">
        <w:rPr>
          <w:color w:val="000000"/>
        </w:rPr>
        <w:t xml:space="preserve">усложняет </w:t>
      </w:r>
      <w:r w:rsidR="00E31D36">
        <w:rPr>
          <w:color w:val="000000"/>
        </w:rPr>
        <w:t xml:space="preserve">контроль качества. Ключевой задачей </w:t>
      </w:r>
      <w:r w:rsidR="00F23389">
        <w:rPr>
          <w:color w:val="000000"/>
        </w:rPr>
        <w:t xml:space="preserve">в этой области </w:t>
      </w:r>
      <w:r w:rsidR="00E31D36">
        <w:rPr>
          <w:color w:val="000000"/>
        </w:rPr>
        <w:t>является разработка надежных методик оценки</w:t>
      </w:r>
      <w:r w:rsidR="00657611" w:rsidRPr="00657611">
        <w:rPr>
          <w:color w:val="000000"/>
        </w:rPr>
        <w:t xml:space="preserve"> </w:t>
      </w:r>
      <w:r w:rsidR="00E31D36">
        <w:rPr>
          <w:color w:val="000000"/>
        </w:rPr>
        <w:t>поверхности</w:t>
      </w:r>
      <w:r w:rsidR="00F23389">
        <w:rPr>
          <w:color w:val="000000"/>
        </w:rPr>
        <w:t xml:space="preserve"> (количества групп их тип)</w:t>
      </w:r>
      <w:r w:rsidR="00E31D36">
        <w:rPr>
          <w:color w:val="000000"/>
        </w:rPr>
        <w:t>, включ</w:t>
      </w:r>
      <w:r w:rsidR="00453017">
        <w:rPr>
          <w:color w:val="000000"/>
        </w:rPr>
        <w:t>ая определение активных центров, влияющих на химическую активность материала.</w:t>
      </w:r>
    </w:p>
    <w:p w14:paraId="3B73961E" w14:textId="41C04B02" w:rsidR="00F23389" w:rsidRDefault="00802CF7" w:rsidP="00F23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Теории кислот и оснований </w:t>
      </w:r>
      <w:proofErr w:type="spellStart"/>
      <w:r>
        <w:rPr>
          <w:color w:val="000000"/>
        </w:rPr>
        <w:t>Брёнстеда-Лоури</w:t>
      </w:r>
      <w:proofErr w:type="spellEnd"/>
      <w:r>
        <w:rPr>
          <w:color w:val="000000"/>
        </w:rPr>
        <w:t xml:space="preserve"> и Льюиса широко применя</w:t>
      </w:r>
      <w:r w:rsidR="00657611">
        <w:rPr>
          <w:color w:val="000000"/>
        </w:rPr>
        <w:t>ю</w:t>
      </w:r>
      <w:r>
        <w:rPr>
          <w:color w:val="000000"/>
        </w:rPr>
        <w:t xml:space="preserve">тся для анализа природы взаимодействий в </w:t>
      </w:r>
      <w:proofErr w:type="gramStart"/>
      <w:r>
        <w:rPr>
          <w:color w:val="000000"/>
        </w:rPr>
        <w:t>физико-химии</w:t>
      </w:r>
      <w:proofErr w:type="gramEnd"/>
      <w:r>
        <w:rPr>
          <w:color w:val="000000"/>
        </w:rPr>
        <w:t xml:space="preserve"> поверхности. Эти теории позволяют объяснить: (1) протонны</w:t>
      </w:r>
      <w:r w:rsidR="00657611">
        <w:rPr>
          <w:color w:val="000000"/>
        </w:rPr>
        <w:t>е</w:t>
      </w:r>
      <w:r>
        <w:rPr>
          <w:color w:val="000000"/>
        </w:rPr>
        <w:t xml:space="preserve"> (ионная пара, водородная связь)</w:t>
      </w:r>
      <w:r w:rsidR="00657611">
        <w:rPr>
          <w:color w:val="000000"/>
        </w:rPr>
        <w:t xml:space="preserve"> взаимодействия</w:t>
      </w:r>
      <w:r>
        <w:rPr>
          <w:color w:val="000000"/>
        </w:rPr>
        <w:t xml:space="preserve">; (2) </w:t>
      </w:r>
      <w:proofErr w:type="spellStart"/>
      <w:r>
        <w:rPr>
          <w:color w:val="000000"/>
        </w:rPr>
        <w:t>донороно</w:t>
      </w:r>
      <w:proofErr w:type="spellEnd"/>
      <w:r w:rsidR="00324FB7">
        <w:rPr>
          <w:color w:val="000000"/>
        </w:rPr>
        <w:noBreakHyphen/>
      </w:r>
      <w:r>
        <w:rPr>
          <w:color w:val="000000"/>
        </w:rPr>
        <w:t>акцепторны</w:t>
      </w:r>
      <w:r w:rsidR="00657611">
        <w:rPr>
          <w:color w:val="000000"/>
        </w:rPr>
        <w:t>е</w:t>
      </w:r>
      <w:r>
        <w:rPr>
          <w:color w:val="000000"/>
        </w:rPr>
        <w:t xml:space="preserve"> взаимодейств</w:t>
      </w:r>
      <w:r w:rsidR="00657611">
        <w:rPr>
          <w:color w:val="000000"/>
        </w:rPr>
        <w:t>ия</w:t>
      </w:r>
      <w:r>
        <w:rPr>
          <w:color w:val="000000"/>
        </w:rPr>
        <w:t>.</w:t>
      </w:r>
      <w:r w:rsidR="00324FB7">
        <w:rPr>
          <w:color w:val="000000"/>
        </w:rPr>
        <w:t xml:space="preserve"> Для описания подобных взаимодействий с кислотными центрами </w:t>
      </w:r>
      <w:r w:rsidR="00F23389">
        <w:rPr>
          <w:color w:val="000000"/>
        </w:rPr>
        <w:t>твердых материалов</w:t>
      </w:r>
      <w:r w:rsidR="00324FB7">
        <w:rPr>
          <w:color w:val="000000"/>
        </w:rPr>
        <w:t xml:space="preserve"> метод спектрального зонда, который</w:t>
      </w:r>
      <w:r w:rsidR="00F23389">
        <w:rPr>
          <w:color w:val="000000"/>
        </w:rPr>
        <w:t xml:space="preserve"> может зачастую,</w:t>
      </w:r>
      <w:r w:rsidR="00324FB7">
        <w:rPr>
          <w:color w:val="000000"/>
        </w:rPr>
        <w:t xml:space="preserve"> </w:t>
      </w:r>
      <w:proofErr w:type="spellStart"/>
      <w:r w:rsidR="00324FB7">
        <w:rPr>
          <w:color w:val="000000"/>
        </w:rPr>
        <w:t>нековалентно</w:t>
      </w:r>
      <w:proofErr w:type="spellEnd"/>
      <w:r w:rsidR="00324FB7">
        <w:rPr>
          <w:color w:val="000000"/>
        </w:rPr>
        <w:t xml:space="preserve"> взаимодейств</w:t>
      </w:r>
      <w:r w:rsidR="00F23389">
        <w:rPr>
          <w:color w:val="000000"/>
        </w:rPr>
        <w:t>овать</w:t>
      </w:r>
      <w:r w:rsidR="00324FB7">
        <w:rPr>
          <w:color w:val="000000"/>
        </w:rPr>
        <w:t xml:space="preserve"> с активными центрами ОГ, что отражается в </w:t>
      </w:r>
      <w:r w:rsidR="00657611">
        <w:rPr>
          <w:color w:val="000000"/>
        </w:rPr>
        <w:t>изменении ИК-</w:t>
      </w:r>
      <w:r w:rsidR="00324FB7">
        <w:rPr>
          <w:color w:val="000000"/>
        </w:rPr>
        <w:t>спектр</w:t>
      </w:r>
      <w:r w:rsidR="00657611">
        <w:rPr>
          <w:color w:val="000000"/>
        </w:rPr>
        <w:t>ов</w:t>
      </w:r>
      <w:r w:rsidR="00324FB7">
        <w:rPr>
          <w:color w:val="000000"/>
        </w:rPr>
        <w:t xml:space="preserve"> материала.</w:t>
      </w:r>
      <w:r w:rsidR="00F23389">
        <w:rPr>
          <w:color w:val="000000"/>
        </w:rPr>
        <w:t xml:space="preserve"> Топохимические реакции — такой класс реакций, где </w:t>
      </w:r>
      <w:r w:rsidR="00F23389" w:rsidRPr="00F23389">
        <w:rPr>
          <w:color w:val="000000"/>
        </w:rPr>
        <w:t>твердыми</w:t>
      </w:r>
      <w:r w:rsidR="00F23389">
        <w:rPr>
          <w:color w:val="000000"/>
        </w:rPr>
        <w:t xml:space="preserve"> </w:t>
      </w:r>
      <w:r w:rsidR="00F23389" w:rsidRPr="00F23389">
        <w:rPr>
          <w:color w:val="000000"/>
        </w:rPr>
        <w:t xml:space="preserve">являются хотя бы один продукт и хотя бы один реагент. </w:t>
      </w:r>
    </w:p>
    <w:p w14:paraId="25BD7519" w14:textId="4E307C05" w:rsidR="00657611" w:rsidRDefault="00657611" w:rsidP="00F23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работы</w:t>
      </w:r>
      <w:r w:rsidR="00F23389">
        <w:rPr>
          <w:color w:val="000000"/>
        </w:rPr>
        <w:t xml:space="preserve"> —</w:t>
      </w:r>
      <w:r>
        <w:rPr>
          <w:color w:val="000000"/>
        </w:rPr>
        <w:t xml:space="preserve"> предложит</w:t>
      </w:r>
      <w:r w:rsidR="00F23389">
        <w:rPr>
          <w:color w:val="000000"/>
        </w:rPr>
        <w:t>ь</w:t>
      </w:r>
      <w:r>
        <w:rPr>
          <w:color w:val="000000"/>
        </w:rPr>
        <w:t xml:space="preserve"> условия оценки состава поверхности, изучая </w:t>
      </w:r>
      <w:r w:rsidR="00F23389">
        <w:rPr>
          <w:color w:val="000000"/>
        </w:rPr>
        <w:t xml:space="preserve">топохимические </w:t>
      </w:r>
      <w:r>
        <w:rPr>
          <w:color w:val="000000"/>
        </w:rPr>
        <w:t>реакции зонд</w:t>
      </w:r>
      <w:r w:rsidR="00F23389">
        <w:rPr>
          <w:color w:val="000000"/>
        </w:rPr>
        <w:t>ов</w:t>
      </w:r>
      <w:r>
        <w:rPr>
          <w:color w:val="000000"/>
        </w:rPr>
        <w:t xml:space="preserve"> </w:t>
      </w:r>
      <w:r w:rsidR="00F23389">
        <w:rPr>
          <w:color w:val="000000"/>
        </w:rPr>
        <w:t>с</w:t>
      </w:r>
      <w:r>
        <w:rPr>
          <w:color w:val="000000"/>
        </w:rPr>
        <w:t xml:space="preserve"> оксид</w:t>
      </w:r>
      <w:r w:rsidR="00F23389">
        <w:rPr>
          <w:color w:val="000000"/>
        </w:rPr>
        <w:t>ом</w:t>
      </w:r>
      <w:r>
        <w:rPr>
          <w:color w:val="000000"/>
        </w:rPr>
        <w:t xml:space="preserve"> графена методом ИК спектроскопии.</w:t>
      </w:r>
    </w:p>
    <w:p w14:paraId="45960725" w14:textId="15E6D9E6" w:rsidR="002D6F08" w:rsidRPr="001B3AEB" w:rsidRDefault="0018575A" w:rsidP="001B3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работе для</w:t>
      </w:r>
      <w:r w:rsidR="00324FB7">
        <w:rPr>
          <w:color w:val="000000"/>
        </w:rPr>
        <w:t xml:space="preserve"> определения кислотных центров на поверхности ОГ использовали метод </w:t>
      </w:r>
      <w:r w:rsidR="00324FB7">
        <w:rPr>
          <w:bCs/>
          <w:color w:val="000000"/>
        </w:rPr>
        <w:t>инфракрасной спектроскопии с преобразованием Фурье с применением приставки НПВО</w:t>
      </w:r>
      <w:r>
        <w:rPr>
          <w:bCs/>
          <w:color w:val="000000"/>
        </w:rPr>
        <w:t xml:space="preserve"> (алмаз — кристалл)</w:t>
      </w:r>
      <w:r w:rsidR="00324FB7">
        <w:rPr>
          <w:bCs/>
          <w:color w:val="000000"/>
        </w:rPr>
        <w:t xml:space="preserve">. </w:t>
      </w:r>
      <w:r w:rsidR="00642C71">
        <w:rPr>
          <w:bCs/>
          <w:color w:val="000000"/>
        </w:rPr>
        <w:t xml:space="preserve">В качестве </w:t>
      </w:r>
      <w:r>
        <w:rPr>
          <w:bCs/>
          <w:color w:val="000000"/>
        </w:rPr>
        <w:t xml:space="preserve">рабочего </w:t>
      </w:r>
      <w:r w:rsidR="00642C71">
        <w:rPr>
          <w:bCs/>
          <w:color w:val="000000"/>
        </w:rPr>
        <w:t>зонда</w:t>
      </w:r>
      <w:r>
        <w:rPr>
          <w:bCs/>
          <w:color w:val="000000"/>
        </w:rPr>
        <w:t xml:space="preserve"> (из 10 предложенных)</w:t>
      </w:r>
      <w:r w:rsidR="00642C71">
        <w:rPr>
          <w:bCs/>
          <w:color w:val="000000"/>
        </w:rPr>
        <w:t xml:space="preserve"> выбран пиридин (</w:t>
      </w:r>
      <w:proofErr w:type="spellStart"/>
      <w:r w:rsidR="00642C71">
        <w:rPr>
          <w:bCs/>
          <w:color w:val="000000"/>
          <w:lang w:val="en-US"/>
        </w:rPr>
        <w:t>Py</w:t>
      </w:r>
      <w:proofErr w:type="spellEnd"/>
      <w:r w:rsidR="00642C71" w:rsidRPr="002D6F08">
        <w:rPr>
          <w:bCs/>
          <w:color w:val="000000"/>
        </w:rPr>
        <w:t xml:space="preserve">) </w:t>
      </w:r>
      <m:oMath>
        <m:r>
          <w:rPr>
            <w:rFonts w:ascii="Cambria Math" w:hAnsi="Cambria Math"/>
            <w:color w:val="000000"/>
          </w:rPr>
          <m:t>—</m:t>
        </m:r>
      </m:oMath>
      <w:r w:rsidR="00642C71" w:rsidRPr="002D6F08">
        <w:rPr>
          <w:bCs/>
          <w:color w:val="000000"/>
        </w:rPr>
        <w:t xml:space="preserve"> </w:t>
      </w:r>
      <w:r w:rsidR="00CA1CC8">
        <w:rPr>
          <w:bCs/>
          <w:color w:val="000000"/>
        </w:rPr>
        <w:t>доступный растворитель</w:t>
      </w:r>
      <w:r w:rsidR="00E041DC">
        <w:rPr>
          <w:bCs/>
          <w:color w:val="000000"/>
        </w:rPr>
        <w:t xml:space="preserve">, </w:t>
      </w:r>
      <w:r w:rsidR="002D6F08">
        <w:rPr>
          <w:bCs/>
          <w:color w:val="000000"/>
        </w:rPr>
        <w:t xml:space="preserve">позволяющий одновременно определить кислотные центры </w:t>
      </w:r>
      <w:proofErr w:type="spellStart"/>
      <w:r w:rsidR="002D6F08">
        <w:rPr>
          <w:bCs/>
          <w:color w:val="000000"/>
        </w:rPr>
        <w:t>Брёнстеда</w:t>
      </w:r>
      <w:proofErr w:type="spellEnd"/>
      <w:r w:rsidR="002D6F08">
        <w:rPr>
          <w:bCs/>
          <w:color w:val="000000"/>
        </w:rPr>
        <w:t xml:space="preserve"> и </w:t>
      </w:r>
      <w:proofErr w:type="spellStart"/>
      <w:r w:rsidR="002D6F08">
        <w:rPr>
          <w:bCs/>
          <w:color w:val="000000"/>
        </w:rPr>
        <w:t>Льюса</w:t>
      </w:r>
      <w:proofErr w:type="spellEnd"/>
      <w:r w:rsidR="002D6F08">
        <w:rPr>
          <w:bCs/>
          <w:color w:val="000000"/>
        </w:rPr>
        <w:t xml:space="preserve">. В качестве объекта исследования выбран оксид графена, синтезированный методом </w:t>
      </w:r>
      <w:proofErr w:type="spellStart"/>
      <w:r w:rsidR="002D6F08">
        <w:rPr>
          <w:bCs/>
          <w:color w:val="000000"/>
        </w:rPr>
        <w:t>Хаммерса</w:t>
      </w:r>
      <w:proofErr w:type="spellEnd"/>
      <w:r w:rsidR="002D6F08">
        <w:rPr>
          <w:bCs/>
          <w:color w:val="000000"/>
        </w:rPr>
        <w:t xml:space="preserve"> (</w:t>
      </w:r>
      <w:r w:rsidR="002D6F08">
        <w:rPr>
          <w:bCs/>
          <w:color w:val="000000"/>
          <w:lang w:val="en-US"/>
        </w:rPr>
        <w:t>HGO</w:t>
      </w:r>
      <w:r w:rsidR="002D6F08">
        <w:rPr>
          <w:bCs/>
          <w:color w:val="000000"/>
        </w:rPr>
        <w:t>) с соотношением С:O 2.2 (</w:t>
      </w:r>
      <w:r>
        <w:rPr>
          <w:bCs/>
          <w:color w:val="000000"/>
        </w:rPr>
        <w:t>из метода</w:t>
      </w:r>
      <w:r w:rsidR="002D6F08">
        <w:rPr>
          <w:bCs/>
          <w:color w:val="000000"/>
        </w:rPr>
        <w:t xml:space="preserve"> РФЭС).</w:t>
      </w:r>
    </w:p>
    <w:p w14:paraId="1C491340" w14:textId="24385A73" w:rsidR="004200C5" w:rsidRDefault="004200C5" w:rsidP="001857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00C5">
        <w:rPr>
          <w:color w:val="000000"/>
        </w:rPr>
        <w:t xml:space="preserve">В </w:t>
      </w:r>
      <w:r w:rsidR="0018575A">
        <w:rPr>
          <w:color w:val="000000"/>
        </w:rPr>
        <w:t>результате</w:t>
      </w:r>
      <w:r w:rsidRPr="004200C5">
        <w:rPr>
          <w:color w:val="000000"/>
        </w:rPr>
        <w:t>:</w:t>
      </w:r>
      <w:r w:rsidR="0018575A">
        <w:rPr>
          <w:color w:val="000000"/>
        </w:rPr>
        <w:t xml:space="preserve"> </w:t>
      </w:r>
      <w:r w:rsidR="003730A0">
        <w:rPr>
          <w:color w:val="000000"/>
        </w:rPr>
        <w:t>(</w:t>
      </w:r>
      <w:r w:rsidR="0018575A">
        <w:rPr>
          <w:color w:val="000000"/>
        </w:rPr>
        <w:t>1</w:t>
      </w:r>
      <w:r w:rsidR="003730A0">
        <w:rPr>
          <w:color w:val="000000"/>
        </w:rPr>
        <w:t xml:space="preserve">) Обнаружены новые полосы в спектре, характеризующие </w:t>
      </w:r>
      <w:proofErr w:type="spellStart"/>
      <w:r w:rsidR="003730A0">
        <w:rPr>
          <w:color w:val="000000"/>
        </w:rPr>
        <w:t>Брёнстедовск</w:t>
      </w:r>
      <w:r w:rsidR="0018575A">
        <w:rPr>
          <w:color w:val="000000"/>
        </w:rPr>
        <w:t>и</w:t>
      </w:r>
      <w:r w:rsidR="003730A0">
        <w:rPr>
          <w:color w:val="000000"/>
        </w:rPr>
        <w:t>е</w:t>
      </w:r>
      <w:proofErr w:type="spellEnd"/>
      <w:r w:rsidR="003730A0">
        <w:rPr>
          <w:color w:val="000000"/>
        </w:rPr>
        <w:t xml:space="preserve"> (</w:t>
      </w:r>
      <w:r w:rsidR="003730A0" w:rsidRPr="00436AC3">
        <w:t>1550</w:t>
      </w:r>
      <w:r w:rsidR="003730A0">
        <w:t xml:space="preserve"> и 1485</w:t>
      </w:r>
      <w:r w:rsidR="003730A0" w:rsidRPr="00436AC3">
        <w:t> см</w:t>
      </w:r>
      <w:r w:rsidR="003730A0" w:rsidRPr="00436AC3">
        <w:rPr>
          <w:vertAlign w:val="superscript"/>
        </w:rPr>
        <w:t>−1</w:t>
      </w:r>
      <w:r w:rsidR="003730A0">
        <w:t xml:space="preserve">) и </w:t>
      </w:r>
      <w:proofErr w:type="spellStart"/>
      <w:r w:rsidR="003730A0">
        <w:t>Льюивск</w:t>
      </w:r>
      <w:r w:rsidR="0018575A">
        <w:t>и</w:t>
      </w:r>
      <w:r w:rsidR="003730A0">
        <w:t>е</w:t>
      </w:r>
      <w:proofErr w:type="spellEnd"/>
      <w:r w:rsidR="00D57A88">
        <w:t xml:space="preserve"> (</w:t>
      </w:r>
      <w:r w:rsidR="00D57A88" w:rsidRPr="00436AC3">
        <w:t>1595</w:t>
      </w:r>
      <w:r w:rsidR="00D57A88">
        <w:t>, 1485</w:t>
      </w:r>
      <w:r w:rsidR="00D57A88" w:rsidRPr="00436AC3">
        <w:t xml:space="preserve"> и 1445 см</w:t>
      </w:r>
      <w:r w:rsidR="00D57A88" w:rsidRPr="00436AC3">
        <w:rPr>
          <w:vertAlign w:val="superscript"/>
        </w:rPr>
        <w:t>−1</w:t>
      </w:r>
      <w:r w:rsidR="00D57A88">
        <w:t>)</w:t>
      </w:r>
      <w:r w:rsidR="003730A0">
        <w:t xml:space="preserve"> взаимодействия</w:t>
      </w:r>
      <w:r w:rsidR="0018575A">
        <w:t>;</w:t>
      </w:r>
      <w:r w:rsidR="0018575A">
        <w:rPr>
          <w:color w:val="000000"/>
        </w:rPr>
        <w:t xml:space="preserve"> </w:t>
      </w:r>
      <w:r w:rsidRPr="004200C5">
        <w:rPr>
          <w:color w:val="000000"/>
        </w:rPr>
        <w:t>(</w:t>
      </w:r>
      <w:r w:rsidR="0018575A">
        <w:rPr>
          <w:color w:val="000000"/>
        </w:rPr>
        <w:t>2</w:t>
      </w:r>
      <w:r w:rsidRPr="004200C5">
        <w:rPr>
          <w:color w:val="000000"/>
        </w:rPr>
        <w:t xml:space="preserve">) </w:t>
      </w:r>
      <w:r w:rsidR="0018575A">
        <w:rPr>
          <w:color w:val="000000"/>
        </w:rPr>
        <w:t>У</w:t>
      </w:r>
      <w:r w:rsidRPr="004200C5">
        <w:rPr>
          <w:color w:val="000000"/>
        </w:rPr>
        <w:t>становлено оптимальное время экспозиции (ОГ-порошок) и (зонд-жидкий пиридин) для оценки времени достижения сорбционного равновесия молекул зонда с ОГ по двум аналитическим сигналам — масса, сорбированного зонда, и интенсивность характеристических полос ИК спектра; (</w:t>
      </w:r>
      <w:r w:rsidR="0018575A">
        <w:rPr>
          <w:color w:val="000000"/>
        </w:rPr>
        <w:t>3</w:t>
      </w:r>
      <w:r w:rsidRPr="004200C5">
        <w:rPr>
          <w:color w:val="000000"/>
        </w:rPr>
        <w:t xml:space="preserve">) </w:t>
      </w:r>
      <w:r w:rsidR="004C42F6">
        <w:rPr>
          <w:color w:val="000000"/>
        </w:rPr>
        <w:t>Изучено</w:t>
      </w:r>
      <w:r w:rsidRPr="004200C5">
        <w:rPr>
          <w:color w:val="000000"/>
        </w:rPr>
        <w:t xml:space="preserve"> </w:t>
      </w:r>
      <w:r w:rsidR="004C42F6">
        <w:rPr>
          <w:color w:val="000000"/>
        </w:rPr>
        <w:t>взаимодействие в</w:t>
      </w:r>
      <w:r w:rsidRPr="004200C5">
        <w:rPr>
          <w:color w:val="000000"/>
        </w:rPr>
        <w:t xml:space="preserve"> топохимических реакци</w:t>
      </w:r>
      <w:r w:rsidR="004C42F6">
        <w:rPr>
          <w:color w:val="000000"/>
        </w:rPr>
        <w:t>ях</w:t>
      </w:r>
      <w:r w:rsidRPr="004200C5">
        <w:rPr>
          <w:color w:val="000000"/>
        </w:rPr>
        <w:t xml:space="preserve"> </w:t>
      </w:r>
      <w:r w:rsidR="004C42F6">
        <w:rPr>
          <w:color w:val="000000"/>
        </w:rPr>
        <w:t xml:space="preserve">— </w:t>
      </w:r>
      <w:r w:rsidRPr="004200C5">
        <w:rPr>
          <w:color w:val="000000"/>
        </w:rPr>
        <w:t>изменение интенсивности и уширение полос поглощения в ИК спектрах во времени; (</w:t>
      </w:r>
      <w:r w:rsidR="0018575A">
        <w:rPr>
          <w:color w:val="000000"/>
        </w:rPr>
        <w:t>4</w:t>
      </w:r>
      <w:r w:rsidRPr="004200C5">
        <w:rPr>
          <w:color w:val="000000"/>
        </w:rPr>
        <w:t xml:space="preserve">) предложен способ косвенного определения кислотных центров (L+B) за счет комбинации подходов сорбции и </w:t>
      </w:r>
      <w:proofErr w:type="spellStart"/>
      <w:r w:rsidRPr="004200C5">
        <w:rPr>
          <w:color w:val="000000"/>
        </w:rPr>
        <w:t>термодесорбции</w:t>
      </w:r>
      <w:proofErr w:type="spellEnd"/>
      <w:r w:rsidRPr="004200C5">
        <w:rPr>
          <w:color w:val="000000"/>
        </w:rPr>
        <w:t xml:space="preserve"> в изотермических условиях</w:t>
      </w:r>
      <w:r w:rsidR="004C42F6">
        <w:rPr>
          <w:color w:val="000000"/>
        </w:rPr>
        <w:t xml:space="preserve"> </w:t>
      </w:r>
      <w:r w:rsidR="004C42F6" w:rsidRPr="00C97187">
        <w:rPr>
          <w:color w:val="000000"/>
        </w:rPr>
        <w:t>(</w:t>
      </w:r>
      <w:proofErr w:type="spellStart"/>
      <w:r w:rsidR="00D610EE" w:rsidRPr="00C97187">
        <w:rPr>
          <w:color w:val="000000"/>
          <w:lang w:val="en-US"/>
        </w:rPr>
        <w:t>s</w:t>
      </w:r>
      <w:r w:rsidR="00D610EE" w:rsidRPr="00C97187">
        <w:rPr>
          <w:color w:val="000000"/>
          <w:vertAlign w:val="subscript"/>
          <w:lang w:val="en-US"/>
        </w:rPr>
        <w:t>r</w:t>
      </w:r>
      <w:proofErr w:type="spellEnd"/>
      <w:r w:rsidR="004C42F6" w:rsidRPr="00C97187">
        <w:rPr>
          <w:color w:val="000000"/>
        </w:rPr>
        <w:t xml:space="preserve"> </w:t>
      </w:r>
      <w:r w:rsidR="00C97187" w:rsidRPr="00C97187">
        <w:rPr>
          <w:color w:val="000000"/>
        </w:rPr>
        <w:t xml:space="preserve">аналитического сигнала </w:t>
      </w:r>
      <w:proofErr w:type="spellStart"/>
      <w:r w:rsidR="00D610EE" w:rsidRPr="00C97187">
        <w:rPr>
          <w:color w:val="000000"/>
        </w:rPr>
        <w:t>Брёнстедовских</w:t>
      </w:r>
      <w:proofErr w:type="spellEnd"/>
      <w:r w:rsidR="00D610EE" w:rsidRPr="00C97187">
        <w:rPr>
          <w:color w:val="000000"/>
        </w:rPr>
        <w:t xml:space="preserve"> полос</w:t>
      </w:r>
      <w:r w:rsidR="00C97187" w:rsidRPr="00C97187">
        <w:rPr>
          <w:color w:val="000000"/>
        </w:rPr>
        <w:t xml:space="preserve"> при 1550 и 1485</w:t>
      </w:r>
      <w:r w:rsidR="00C97187" w:rsidRPr="00C97187">
        <w:t> см</w:t>
      </w:r>
      <w:r w:rsidR="00C97187" w:rsidRPr="00C97187">
        <w:rPr>
          <w:vertAlign w:val="superscript"/>
        </w:rPr>
        <w:t>−1</w:t>
      </w:r>
      <w:r w:rsidR="00D610EE" w:rsidRPr="00C97187">
        <w:rPr>
          <w:color w:val="000000"/>
        </w:rPr>
        <w:t xml:space="preserve"> </w:t>
      </w:r>
      <w:r w:rsidR="00C97187" w:rsidRPr="00C97187">
        <w:rPr>
          <w:color w:val="000000"/>
        </w:rPr>
        <w:t>менее</w:t>
      </w:r>
      <w:r w:rsidR="00D610EE" w:rsidRPr="00C97187">
        <w:rPr>
          <w:color w:val="000000"/>
        </w:rPr>
        <w:t xml:space="preserve"> 15</w:t>
      </w:r>
      <w:r w:rsidR="004C42F6" w:rsidRPr="00C97187">
        <w:rPr>
          <w:color w:val="000000"/>
        </w:rPr>
        <w:t>%)</w:t>
      </w:r>
      <w:r w:rsidRPr="00C97187">
        <w:rPr>
          <w:color w:val="000000"/>
        </w:rPr>
        <w:t>.</w:t>
      </w:r>
    </w:p>
    <w:p w14:paraId="376AF942" w14:textId="77777777" w:rsidR="00D57A88" w:rsidRDefault="00D57A88" w:rsidP="00D57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5A94229F" w14:textId="4FBA4161" w:rsidR="00E041DC" w:rsidRPr="00330C2A" w:rsidRDefault="00D57A88" w:rsidP="00D57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330C2A">
        <w:rPr>
          <w:i/>
          <w:iCs/>
        </w:rPr>
        <w:t>Благодарности: Работа выполнена при финансовой поддержке РНФ (проект № 24-73-10012).</w:t>
      </w:r>
    </w:p>
    <w:sectPr w:rsidR="00E041DC" w:rsidRPr="00330C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575A"/>
    <w:rsid w:val="001B3AEB"/>
    <w:rsid w:val="001E61C2"/>
    <w:rsid w:val="001F0493"/>
    <w:rsid w:val="0022260A"/>
    <w:rsid w:val="002264EE"/>
    <w:rsid w:val="0023307C"/>
    <w:rsid w:val="00242C15"/>
    <w:rsid w:val="002D6F08"/>
    <w:rsid w:val="0031361E"/>
    <w:rsid w:val="00324FB7"/>
    <w:rsid w:val="00330C2A"/>
    <w:rsid w:val="003372A6"/>
    <w:rsid w:val="003730A0"/>
    <w:rsid w:val="00391C38"/>
    <w:rsid w:val="003B76D6"/>
    <w:rsid w:val="003E2601"/>
    <w:rsid w:val="003F4E6B"/>
    <w:rsid w:val="004200C5"/>
    <w:rsid w:val="00453017"/>
    <w:rsid w:val="004A26A3"/>
    <w:rsid w:val="004C42F6"/>
    <w:rsid w:val="004F0EDF"/>
    <w:rsid w:val="00522BF1"/>
    <w:rsid w:val="00531F2A"/>
    <w:rsid w:val="005423D1"/>
    <w:rsid w:val="00590166"/>
    <w:rsid w:val="005D022B"/>
    <w:rsid w:val="005E5BE9"/>
    <w:rsid w:val="00642C71"/>
    <w:rsid w:val="00657611"/>
    <w:rsid w:val="0069427D"/>
    <w:rsid w:val="006F7A19"/>
    <w:rsid w:val="007213E1"/>
    <w:rsid w:val="00775389"/>
    <w:rsid w:val="00797838"/>
    <w:rsid w:val="007C36D8"/>
    <w:rsid w:val="007F2744"/>
    <w:rsid w:val="00802CF7"/>
    <w:rsid w:val="008931BE"/>
    <w:rsid w:val="008C67E3"/>
    <w:rsid w:val="00914205"/>
    <w:rsid w:val="00921D45"/>
    <w:rsid w:val="009224E6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97187"/>
    <w:rsid w:val="00CA1CC8"/>
    <w:rsid w:val="00CD00B1"/>
    <w:rsid w:val="00D22306"/>
    <w:rsid w:val="00D42542"/>
    <w:rsid w:val="00D57A88"/>
    <w:rsid w:val="00D610EE"/>
    <w:rsid w:val="00D63768"/>
    <w:rsid w:val="00D8121C"/>
    <w:rsid w:val="00E041DC"/>
    <w:rsid w:val="00E22189"/>
    <w:rsid w:val="00E31D36"/>
    <w:rsid w:val="00E74069"/>
    <w:rsid w:val="00E81D35"/>
    <w:rsid w:val="00EB1F49"/>
    <w:rsid w:val="00F2338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2024-12-16T00:35:00Z</dcterms:created>
  <dcterms:modified xsi:type="dcterms:W3CDTF">2025-03-03T13:13:00Z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