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2F1E13" w:rsidR="00130241" w:rsidRPr="008C6385" w:rsidRDefault="008C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Определение температурного интервала коллапса полимерных цепей и динамики неоднородностей в водных растворах поли(</w:t>
      </w:r>
      <w:r>
        <w:rPr>
          <w:b/>
          <w:color w:val="000000"/>
          <w:lang w:val="en-US"/>
        </w:rPr>
        <w:t>N</w:t>
      </w:r>
      <w:r w:rsidRPr="008C6385">
        <w:rPr>
          <w:b/>
          <w:color w:val="000000"/>
        </w:rPr>
        <w:t>-</w:t>
      </w:r>
      <w:proofErr w:type="spellStart"/>
      <w:r>
        <w:rPr>
          <w:b/>
          <w:color w:val="000000"/>
        </w:rPr>
        <w:t>изопропилакриламида</w:t>
      </w:r>
      <w:proofErr w:type="spellEnd"/>
      <w:r>
        <w:rPr>
          <w:b/>
          <w:color w:val="000000"/>
        </w:rPr>
        <w:t xml:space="preserve">) и его сополимера с </w:t>
      </w:r>
      <w:proofErr w:type="spellStart"/>
      <w:r>
        <w:rPr>
          <w:b/>
          <w:color w:val="000000"/>
        </w:rPr>
        <w:t>полиэтиленгликолем</w:t>
      </w:r>
      <w:proofErr w:type="spellEnd"/>
    </w:p>
    <w:p w14:paraId="00000002" w14:textId="2E492ABD" w:rsidR="00130241" w:rsidRDefault="000D3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Сименидо Г.А.</w:t>
      </w:r>
      <w:r w:rsidRPr="009B4D98">
        <w:rPr>
          <w:b/>
          <w:i/>
          <w:color w:val="000000"/>
        </w:rPr>
        <w:t xml:space="preserve">, </w:t>
      </w:r>
      <w:r w:rsidR="008C6385">
        <w:rPr>
          <w:b/>
          <w:i/>
          <w:color w:val="000000"/>
        </w:rPr>
        <w:t>Шатров Т.Д</w:t>
      </w:r>
      <w:r w:rsidR="005A256E">
        <w:rPr>
          <w:b/>
          <w:i/>
          <w:color w:val="000000"/>
        </w:rPr>
        <w:t>.</w:t>
      </w:r>
      <w:r w:rsidR="00DC3290">
        <w:rPr>
          <w:b/>
          <w:i/>
          <w:color w:val="000000"/>
        </w:rPr>
        <w:t>, Иванова Е.А.</w:t>
      </w:r>
    </w:p>
    <w:p w14:paraId="00000003" w14:textId="4107351D" w:rsidR="00130241" w:rsidRDefault="009B4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8C6385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7" w14:textId="27E02E56" w:rsidR="00130241" w:rsidRDefault="00EB1F49" w:rsidP="008C6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28A85F9E" w:rsidR="00130241" w:rsidRPr="009B4D9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8C6385">
        <w:rPr>
          <w:i/>
          <w:color w:val="000000"/>
          <w:lang w:val="de-DE"/>
        </w:rPr>
        <w:t>E</w:t>
      </w:r>
      <w:r w:rsidR="003B76D6" w:rsidRPr="008C6385">
        <w:rPr>
          <w:i/>
          <w:color w:val="000000"/>
          <w:lang w:val="de-DE"/>
        </w:rPr>
        <w:t>-</w:t>
      </w:r>
      <w:r w:rsidRPr="008C6385">
        <w:rPr>
          <w:i/>
          <w:color w:val="000000"/>
          <w:lang w:val="de-DE"/>
        </w:rPr>
        <w:t>mail</w:t>
      </w:r>
      <w:proofErr w:type="spellEnd"/>
      <w:r w:rsidRPr="008C6385">
        <w:rPr>
          <w:i/>
          <w:color w:val="000000"/>
          <w:lang w:val="de-DE"/>
        </w:rPr>
        <w:t xml:space="preserve">: </w:t>
      </w:r>
      <w:proofErr w:type="spellStart"/>
      <w:r w:rsidR="009B4D98" w:rsidRPr="009B4D98">
        <w:rPr>
          <w:i/>
          <w:iCs/>
          <w:lang w:val="en-US"/>
        </w:rPr>
        <w:t>simenido</w:t>
      </w:r>
      <w:proofErr w:type="spellEnd"/>
      <w:r w:rsidR="009B4D98" w:rsidRPr="009B4D98">
        <w:rPr>
          <w:i/>
          <w:iCs/>
        </w:rPr>
        <w:t>@</w:t>
      </w:r>
      <w:r w:rsidR="009B4D98" w:rsidRPr="009B4D98">
        <w:rPr>
          <w:i/>
          <w:iCs/>
          <w:lang w:val="en-US"/>
        </w:rPr>
        <w:t>yandex.ru</w:t>
      </w:r>
    </w:p>
    <w:p w14:paraId="68555CE6" w14:textId="09CAD72B" w:rsidR="009F3380" w:rsidRDefault="008C638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6385">
        <w:rPr>
          <w:color w:val="000000"/>
        </w:rPr>
        <w:t xml:space="preserve">Термочувствительные полимеры с нижней критической температурой растворения (НКТР) претерпевают </w:t>
      </w:r>
      <w:r w:rsidR="0058242E">
        <w:rPr>
          <w:color w:val="000000"/>
        </w:rPr>
        <w:t>коллапс полимерных цепей</w:t>
      </w:r>
      <w:r w:rsidRPr="008C6385">
        <w:rPr>
          <w:color w:val="000000"/>
        </w:rPr>
        <w:t xml:space="preserve"> при превышении НКТР. Так, НКТР водного раствора поли(N-</w:t>
      </w:r>
      <w:proofErr w:type="spellStart"/>
      <w:r w:rsidRPr="008C6385">
        <w:rPr>
          <w:color w:val="000000"/>
        </w:rPr>
        <w:t>изопропилакриламида</w:t>
      </w:r>
      <w:proofErr w:type="spellEnd"/>
      <w:r w:rsidRPr="008C6385">
        <w:rPr>
          <w:color w:val="000000"/>
        </w:rPr>
        <w:t>) (</w:t>
      </w:r>
      <w:r w:rsidR="00DC3290">
        <w:rPr>
          <w:color w:val="000000"/>
        </w:rPr>
        <w:t>ПНИПАМ</w:t>
      </w:r>
      <w:r w:rsidRPr="008C6385">
        <w:rPr>
          <w:color w:val="000000"/>
        </w:rPr>
        <w:t>) находится в окрестности физиологического диапазона и составляет 32 °C, что обуславливает его широкое применение в тканевой инженерии и селективной доставке лекарственных средств</w:t>
      </w:r>
      <w:r w:rsidR="00871625">
        <w:rPr>
          <w:color w:val="000000"/>
        </w:rPr>
        <w:t xml:space="preserve"> [</w:t>
      </w:r>
      <w:r w:rsidR="00871625" w:rsidRPr="00871625">
        <w:rPr>
          <w:color w:val="000000"/>
        </w:rPr>
        <w:t>1]</w:t>
      </w:r>
      <w:r w:rsidRPr="008C6385">
        <w:rPr>
          <w:color w:val="000000"/>
        </w:rPr>
        <w:t>.</w:t>
      </w:r>
    </w:p>
    <w:p w14:paraId="21DB21BB" w14:textId="319F90F4" w:rsidR="009943E2" w:rsidRDefault="009943E2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943E2">
        <w:rPr>
          <w:color w:val="000000"/>
        </w:rPr>
        <w:t xml:space="preserve">Метод ЭПР-спектроскопии в рамках методики спинового зонда активно используется для исследования динамики фазового перехода термочувствительных полимеров. Так, ранее с помощью этого подхода было показано, что процесс перехода клубок-глобула в водных растворах сополимеров </w:t>
      </w:r>
      <w:r w:rsidR="00DC3290">
        <w:rPr>
          <w:color w:val="000000"/>
        </w:rPr>
        <w:t>ПНИПАМ</w:t>
      </w:r>
      <w:r w:rsidRPr="009943E2">
        <w:rPr>
          <w:color w:val="000000"/>
        </w:rPr>
        <w:t xml:space="preserve"> начинается с образования локальных неоднородностей </w:t>
      </w:r>
      <w:r w:rsidR="0058242E">
        <w:rPr>
          <w:color w:val="000000"/>
        </w:rPr>
        <w:t>при температурах ниже НКТР</w:t>
      </w:r>
      <w:r w:rsidR="000F16BF" w:rsidRPr="000F16BF">
        <w:rPr>
          <w:color w:val="000000"/>
        </w:rPr>
        <w:t xml:space="preserve"> [2]</w:t>
      </w:r>
      <w:r w:rsidRPr="009943E2">
        <w:rPr>
          <w:color w:val="000000"/>
        </w:rPr>
        <w:t xml:space="preserve">. </w:t>
      </w:r>
    </w:p>
    <w:p w14:paraId="7A809450" w14:textId="0050FF96" w:rsidR="002F6752" w:rsidRDefault="002F6752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F6752">
        <w:rPr>
          <w:color w:val="000000"/>
        </w:rPr>
        <w:t xml:space="preserve">С использованием </w:t>
      </w:r>
      <w:r w:rsidR="00DC3290">
        <w:rPr>
          <w:color w:val="000000"/>
        </w:rPr>
        <w:t>ТЕМПО</w:t>
      </w:r>
      <w:r w:rsidRPr="002F6752">
        <w:rPr>
          <w:color w:val="000000"/>
        </w:rPr>
        <w:t xml:space="preserve"> в качестве спинового зонда была исследована динамика неоднородностей в водны</w:t>
      </w:r>
      <w:r w:rsidR="0096295D">
        <w:rPr>
          <w:color w:val="000000"/>
        </w:rPr>
        <w:t xml:space="preserve">х растворах 10 масс. % </w:t>
      </w:r>
      <w:r w:rsidR="00DC3290">
        <w:rPr>
          <w:color w:val="000000"/>
        </w:rPr>
        <w:t>ПНИПАМ</w:t>
      </w:r>
      <w:r w:rsidR="00245DAC">
        <w:rPr>
          <w:color w:val="000000"/>
        </w:rPr>
        <w:t xml:space="preserve"> (</w:t>
      </w:r>
      <w:r w:rsidR="00245DAC">
        <w:rPr>
          <w:color w:val="000000"/>
          <w:lang w:val="en-US"/>
        </w:rPr>
        <w:t>Mn</w:t>
      </w:r>
      <w:r w:rsidR="00245DAC" w:rsidRPr="00245DAC">
        <w:rPr>
          <w:color w:val="000000"/>
        </w:rPr>
        <w:t xml:space="preserve"> = 13.2</w:t>
      </w:r>
      <w:r w:rsidR="00245DAC">
        <w:rPr>
          <w:color w:val="000000"/>
        </w:rPr>
        <w:t>кДа)</w:t>
      </w:r>
      <w:r w:rsidR="0096295D">
        <w:rPr>
          <w:color w:val="000000"/>
        </w:rPr>
        <w:t xml:space="preserve"> и </w:t>
      </w:r>
      <w:r w:rsidR="00B40926">
        <w:rPr>
          <w:color w:val="000000"/>
        </w:rPr>
        <w:t xml:space="preserve">его </w:t>
      </w:r>
      <w:r w:rsidRPr="002F6752">
        <w:rPr>
          <w:color w:val="000000"/>
        </w:rPr>
        <w:t xml:space="preserve">сополимера </w:t>
      </w:r>
      <w:r w:rsidR="00B40926">
        <w:rPr>
          <w:color w:val="000000"/>
        </w:rPr>
        <w:t xml:space="preserve">с </w:t>
      </w:r>
      <w:proofErr w:type="spellStart"/>
      <w:r w:rsidR="00B40926">
        <w:rPr>
          <w:color w:val="000000"/>
        </w:rPr>
        <w:t>полиэтиленгликолем</w:t>
      </w:r>
      <w:proofErr w:type="spellEnd"/>
      <w:r w:rsidR="00B40926">
        <w:rPr>
          <w:color w:val="000000"/>
        </w:rPr>
        <w:t xml:space="preserve"> </w:t>
      </w:r>
      <w:r w:rsidR="00DC3290">
        <w:rPr>
          <w:color w:val="000000"/>
        </w:rPr>
        <w:t>ПНИПАМ</w:t>
      </w:r>
      <w:r w:rsidRPr="002F6752">
        <w:rPr>
          <w:color w:val="000000"/>
        </w:rPr>
        <w:t>-</w:t>
      </w:r>
      <w:r w:rsidR="00DC3290">
        <w:rPr>
          <w:i/>
          <w:iCs/>
          <w:color w:val="000000"/>
        </w:rPr>
        <w:t>блок</w:t>
      </w:r>
      <w:r w:rsidR="00245DAC" w:rsidRPr="00245DAC">
        <w:rPr>
          <w:i/>
          <w:iCs/>
          <w:color w:val="000000"/>
        </w:rPr>
        <w:t>-</w:t>
      </w:r>
      <w:r w:rsidR="00DC3290">
        <w:rPr>
          <w:color w:val="000000"/>
        </w:rPr>
        <w:t>ПЭГ</w:t>
      </w:r>
      <w:r w:rsidR="00B9455F">
        <w:rPr>
          <w:color w:val="000000"/>
        </w:rPr>
        <w:t xml:space="preserve"> (</w:t>
      </w:r>
      <w:r w:rsidR="00B9455F">
        <w:rPr>
          <w:color w:val="000000"/>
          <w:lang w:val="en-US"/>
        </w:rPr>
        <w:t>Mn</w:t>
      </w:r>
      <w:r w:rsidR="00B9455F" w:rsidRPr="00B9455F">
        <w:rPr>
          <w:color w:val="000000"/>
        </w:rPr>
        <w:t xml:space="preserve"> = 13.2 </w:t>
      </w:r>
      <w:proofErr w:type="spellStart"/>
      <w:r w:rsidR="00B9455F">
        <w:rPr>
          <w:color w:val="000000"/>
        </w:rPr>
        <w:t>кДа</w:t>
      </w:r>
      <w:proofErr w:type="spellEnd"/>
      <w:r w:rsidR="00B9455F">
        <w:rPr>
          <w:color w:val="000000"/>
        </w:rPr>
        <w:t xml:space="preserve">, </w:t>
      </w:r>
      <w:proofErr w:type="gramStart"/>
      <w:r w:rsidR="00B9455F">
        <w:rPr>
          <w:color w:val="000000"/>
          <w:lang w:val="en-US"/>
        </w:rPr>
        <w:t>Mn</w:t>
      </w:r>
      <w:r w:rsidR="00B9455F" w:rsidRPr="00B9455F">
        <w:rPr>
          <w:color w:val="000000"/>
        </w:rPr>
        <w:t>(</w:t>
      </w:r>
      <w:proofErr w:type="gramEnd"/>
      <w:r w:rsidR="00DC3290">
        <w:rPr>
          <w:color w:val="000000"/>
        </w:rPr>
        <w:t>ПЭГ</w:t>
      </w:r>
      <w:r w:rsidR="00B9455F" w:rsidRPr="00B9455F">
        <w:rPr>
          <w:color w:val="000000"/>
        </w:rPr>
        <w:t>) = 2</w:t>
      </w:r>
      <w:r w:rsidR="00B9455F">
        <w:rPr>
          <w:color w:val="000000"/>
        </w:rPr>
        <w:t>.0</w:t>
      </w:r>
      <w:r w:rsidR="00B9455F" w:rsidRPr="00B9455F">
        <w:rPr>
          <w:color w:val="000000"/>
        </w:rPr>
        <w:t xml:space="preserve"> </w:t>
      </w:r>
      <w:proofErr w:type="spellStart"/>
      <w:r w:rsidR="00B9455F">
        <w:rPr>
          <w:color w:val="000000"/>
        </w:rPr>
        <w:t>кДа</w:t>
      </w:r>
      <w:proofErr w:type="spellEnd"/>
      <w:r w:rsidR="00B9455F">
        <w:rPr>
          <w:color w:val="000000"/>
        </w:rPr>
        <w:t>)</w:t>
      </w:r>
      <w:r w:rsidR="00B40926">
        <w:rPr>
          <w:color w:val="000000"/>
        </w:rPr>
        <w:t>.</w:t>
      </w:r>
      <w:r w:rsidR="00B40926" w:rsidRPr="00B40926">
        <w:rPr>
          <w:color w:val="000000"/>
        </w:rPr>
        <w:t xml:space="preserve"> </w:t>
      </w:r>
      <w:r w:rsidR="00B40926">
        <w:rPr>
          <w:color w:val="000000"/>
          <w:lang w:val="en-US"/>
        </w:rPr>
        <w:t>C</w:t>
      </w:r>
      <w:r w:rsidRPr="002F6752">
        <w:rPr>
          <w:color w:val="000000"/>
        </w:rPr>
        <w:t xml:space="preserve"> </w:t>
      </w:r>
      <w:r w:rsidR="00245DAC">
        <w:rPr>
          <w:color w:val="000000"/>
        </w:rPr>
        <w:t>помощью моделирования спектров ЭПР определена доля частиц зонда, находящихся в полимерных неоднородностях, а также их</w:t>
      </w:r>
      <w:r w:rsidRPr="002F6752">
        <w:rPr>
          <w:color w:val="000000"/>
        </w:rPr>
        <w:t xml:space="preserve"> магнитно-резонансные и динамические параметры</w:t>
      </w:r>
      <w:r w:rsidR="00245DAC">
        <w:rPr>
          <w:color w:val="000000"/>
        </w:rPr>
        <w:t>.</w:t>
      </w:r>
    </w:p>
    <w:p w14:paraId="40063A13" w14:textId="6B42B7E9" w:rsidR="000E0261" w:rsidRDefault="000E0261" w:rsidP="00266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0E0261">
        <w:rPr>
          <w:noProof/>
          <w:color w:val="000000"/>
        </w:rPr>
        <w:drawing>
          <wp:inline distT="0" distB="0" distL="0" distR="0" wp14:anchorId="4D597C9C" wp14:editId="09B476EA">
            <wp:extent cx="2438400" cy="18735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7958" t="754" b="6783"/>
                    <a:stretch/>
                  </pic:blipFill>
                  <pic:spPr>
                    <a:xfrm>
                      <a:off x="0" y="0"/>
                      <a:ext cx="2496211" cy="191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261">
        <w:rPr>
          <w:noProof/>
          <w:color w:val="000000"/>
        </w:rPr>
        <w:drawing>
          <wp:inline distT="0" distB="0" distL="0" distR="0" wp14:anchorId="44A38421" wp14:editId="3D75C674">
            <wp:extent cx="2286000" cy="1855648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7854" t="7747" r="12353" b="7567"/>
                    <a:stretch/>
                  </pic:blipFill>
                  <pic:spPr>
                    <a:xfrm>
                      <a:off x="0" y="0"/>
                      <a:ext cx="2324803" cy="188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65BBA" w14:textId="0F0F6D96" w:rsidR="00266281" w:rsidRDefault="00266281" w:rsidP="00266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Pr="00266281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Температурная зависимость константы </w:t>
      </w:r>
      <w:r w:rsidR="007C356C">
        <w:rPr>
          <w:color w:val="000000"/>
        </w:rPr>
        <w:t>сверхтонкого взаимодействия</w:t>
      </w:r>
      <w:r>
        <w:rPr>
          <w:color w:val="000000"/>
        </w:rPr>
        <w:t xml:space="preserve"> для </w:t>
      </w:r>
      <w:r w:rsidR="00DC3290">
        <w:rPr>
          <w:color w:val="000000"/>
        </w:rPr>
        <w:t>ПНИПАМ</w:t>
      </w:r>
      <w:r w:rsidRPr="00266281">
        <w:rPr>
          <w:color w:val="000000"/>
        </w:rPr>
        <w:t xml:space="preserve"> </w:t>
      </w:r>
      <w:r>
        <w:rPr>
          <w:color w:val="000000"/>
        </w:rPr>
        <w:t xml:space="preserve">и сополимера </w:t>
      </w:r>
      <w:r w:rsidR="00DC3290">
        <w:rPr>
          <w:color w:val="000000"/>
        </w:rPr>
        <w:t>ПНИПАМ</w:t>
      </w:r>
      <w:r w:rsidRPr="00266281">
        <w:rPr>
          <w:color w:val="000000"/>
        </w:rPr>
        <w:t>-</w:t>
      </w:r>
      <w:r w:rsidR="00DC3290">
        <w:rPr>
          <w:color w:val="000000"/>
        </w:rPr>
        <w:t>блок-ПЭГ</w:t>
      </w:r>
      <w:r w:rsidRPr="00266281">
        <w:rPr>
          <w:color w:val="000000"/>
        </w:rPr>
        <w:t xml:space="preserve">; </w:t>
      </w:r>
      <w:r w:rsidRPr="00266281">
        <w:rPr>
          <w:b/>
          <w:color w:val="000000"/>
          <w:lang w:val="en-US"/>
        </w:rPr>
        <w:t>B</w:t>
      </w:r>
      <w:r w:rsidRPr="00266281">
        <w:rPr>
          <w:b/>
          <w:color w:val="000000"/>
        </w:rPr>
        <w:t xml:space="preserve"> </w:t>
      </w:r>
      <w:r>
        <w:rPr>
          <w:color w:val="000000"/>
        </w:rPr>
        <w:t>Температурная зависимость доли частиц зонда в неоднородностях</w:t>
      </w:r>
    </w:p>
    <w:p w14:paraId="1564A30C" w14:textId="23FEF769" w:rsidR="00804426" w:rsidRDefault="00804426" w:rsidP="00804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Согласно полученным </w:t>
      </w:r>
      <w:r w:rsidR="004651C1">
        <w:t>данным</w:t>
      </w:r>
      <w:r w:rsidRPr="009645D2">
        <w:t xml:space="preserve"> </w:t>
      </w:r>
      <w:r>
        <w:t>п</w:t>
      </w:r>
      <w:r w:rsidRPr="009645D2">
        <w:t>олярность внутри неодн</w:t>
      </w:r>
      <w:r>
        <w:t xml:space="preserve">ородностей </w:t>
      </w:r>
      <w:r w:rsidR="00DC3290">
        <w:t>ПНИПАМ</w:t>
      </w:r>
      <w:r>
        <w:t xml:space="preserve"> и сополимера </w:t>
      </w:r>
      <w:r w:rsidR="00DC3290">
        <w:t>ПНИПАМ</w:t>
      </w:r>
      <w:r w:rsidRPr="00905162">
        <w:t>-</w:t>
      </w:r>
      <w:r w:rsidR="00DC3290">
        <w:rPr>
          <w:i/>
          <w:iCs/>
        </w:rPr>
        <w:t>блок</w:t>
      </w:r>
      <w:r w:rsidR="00245DAC" w:rsidRPr="00245DAC">
        <w:t>-</w:t>
      </w:r>
      <w:r w:rsidR="00DC3290">
        <w:t>ПЭГ</w:t>
      </w:r>
      <w:r w:rsidRPr="00905162">
        <w:t xml:space="preserve"> </w:t>
      </w:r>
      <w:r w:rsidRPr="009645D2">
        <w:t>близка к полярности</w:t>
      </w:r>
      <w:r>
        <w:t xml:space="preserve"> хлороформа</w:t>
      </w:r>
      <w:r w:rsidR="004651C1">
        <w:t>;</w:t>
      </w:r>
      <w:r>
        <w:t xml:space="preserve"> </w:t>
      </w:r>
      <w:r w:rsidRPr="009645D2">
        <w:t xml:space="preserve">неоднородности имеют динамический характер в температурном диапазоне </w:t>
      </w:r>
      <w:r>
        <w:t>40-80°</w:t>
      </w:r>
      <w:r>
        <w:rPr>
          <w:lang w:val="en-US"/>
        </w:rPr>
        <w:t>C</w:t>
      </w:r>
      <w:r>
        <w:t xml:space="preserve"> (Рис. 1. А). </w:t>
      </w:r>
      <w:r w:rsidR="004651C1">
        <w:t>Сравнение т</w:t>
      </w:r>
      <w:r>
        <w:t>емпературн</w:t>
      </w:r>
      <w:r w:rsidR="004651C1">
        <w:t xml:space="preserve">ых </w:t>
      </w:r>
      <w:r>
        <w:t>зависимост</w:t>
      </w:r>
      <w:r w:rsidR="004651C1">
        <w:t>ей</w:t>
      </w:r>
      <w:r>
        <w:t xml:space="preserve"> доли частиц зонда в неоднородностях </w:t>
      </w:r>
      <w:r w:rsidR="00DC3290">
        <w:t>ПНИПАМ</w:t>
      </w:r>
      <w:r w:rsidR="004651C1">
        <w:t xml:space="preserve"> и </w:t>
      </w:r>
      <w:r w:rsidR="00DC3290">
        <w:t>ПНИПАМ</w:t>
      </w:r>
      <w:r w:rsidR="004651C1" w:rsidRPr="00C16F61">
        <w:t>-</w:t>
      </w:r>
      <w:r w:rsidR="00DC3290">
        <w:rPr>
          <w:i/>
          <w:iCs/>
        </w:rPr>
        <w:t>блок</w:t>
      </w:r>
      <w:r w:rsidR="004651C1" w:rsidRPr="00245DAC">
        <w:t>-</w:t>
      </w:r>
      <w:r w:rsidR="00DC3290">
        <w:t>ПЭГ</w:t>
      </w:r>
      <w:r w:rsidR="004651C1">
        <w:t xml:space="preserve"> указывает на то, что в первом случае</w:t>
      </w:r>
      <w:r>
        <w:t xml:space="preserve"> наблюдается более широкий температурный диапазон коллапса полимерных цепей</w:t>
      </w:r>
      <w:r w:rsidR="0058242E">
        <w:t>.</w:t>
      </w:r>
    </w:p>
    <w:p w14:paraId="571992C5" w14:textId="77777777" w:rsidR="000D6715" w:rsidRDefault="000D6715" w:rsidP="00871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</w:p>
    <w:p w14:paraId="4F7F4725" w14:textId="6B848CC7" w:rsidR="00871625" w:rsidRPr="00B555D0" w:rsidRDefault="00871625" w:rsidP="00871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0D9269D" w14:textId="1B7156B8" w:rsidR="00871625" w:rsidRDefault="00871625" w:rsidP="00871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871625">
        <w:rPr>
          <w:color w:val="000000"/>
          <w:lang w:val="en-US"/>
        </w:rPr>
        <w:t>Ward M.A., Georgiou T.K. Thermoresponsive Polymers for Biomedical Applications // Polymers. 2011. Vol. 3, № 3. P. 1215–1242.</w:t>
      </w:r>
    </w:p>
    <w:p w14:paraId="6DF97D3F" w14:textId="6D9A1FB8" w:rsidR="009B2F80" w:rsidRPr="00785984" w:rsidRDefault="00871625" w:rsidP="007859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r w:rsidR="000F16BF" w:rsidRPr="000F16BF">
        <w:rPr>
          <w:color w:val="000000"/>
          <w:lang w:val="en-US"/>
        </w:rPr>
        <w:t xml:space="preserve">Junk M.J.N., Jonas U., Hinderberger D. EPR Spectroscopy Reveals </w:t>
      </w:r>
      <w:proofErr w:type="spellStart"/>
      <w:r w:rsidR="000F16BF" w:rsidRPr="000F16BF">
        <w:rPr>
          <w:color w:val="000000"/>
          <w:lang w:val="en-US"/>
        </w:rPr>
        <w:t>Nanoinhomogeneities</w:t>
      </w:r>
      <w:proofErr w:type="spellEnd"/>
      <w:r w:rsidR="000F16BF" w:rsidRPr="000F16BF">
        <w:rPr>
          <w:color w:val="000000"/>
          <w:lang w:val="en-US"/>
        </w:rPr>
        <w:t xml:space="preserve"> in the Structure and Reactivity of Thermoresponsive Hydrogels // Small. 2008. Vol. 4, № 9. P. 1485–1493.</w:t>
      </w:r>
    </w:p>
    <w:sectPr w:rsidR="009B2F80" w:rsidRPr="007859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655118">
    <w:abstractNumId w:val="2"/>
  </w:num>
  <w:num w:numId="2" w16cid:durableId="997422111">
    <w:abstractNumId w:val="3"/>
  </w:num>
  <w:num w:numId="3" w16cid:durableId="1778913189">
    <w:abstractNumId w:val="1"/>
  </w:num>
  <w:num w:numId="4" w16cid:durableId="127273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22F8"/>
    <w:rsid w:val="00063966"/>
    <w:rsid w:val="00075D6E"/>
    <w:rsid w:val="000836A6"/>
    <w:rsid w:val="00086081"/>
    <w:rsid w:val="0009449A"/>
    <w:rsid w:val="00094FD0"/>
    <w:rsid w:val="000A189C"/>
    <w:rsid w:val="000D3ABF"/>
    <w:rsid w:val="000D6715"/>
    <w:rsid w:val="000E0261"/>
    <w:rsid w:val="000E334E"/>
    <w:rsid w:val="000F16BF"/>
    <w:rsid w:val="00101A1C"/>
    <w:rsid w:val="00103657"/>
    <w:rsid w:val="00106375"/>
    <w:rsid w:val="00107AA3"/>
    <w:rsid w:val="00116478"/>
    <w:rsid w:val="00130241"/>
    <w:rsid w:val="001720F9"/>
    <w:rsid w:val="001E61C2"/>
    <w:rsid w:val="001F01C8"/>
    <w:rsid w:val="001F0493"/>
    <w:rsid w:val="0022260A"/>
    <w:rsid w:val="002264EE"/>
    <w:rsid w:val="0023234A"/>
    <w:rsid w:val="0023307C"/>
    <w:rsid w:val="00245DAC"/>
    <w:rsid w:val="00266281"/>
    <w:rsid w:val="002F6752"/>
    <w:rsid w:val="0031361E"/>
    <w:rsid w:val="00391C38"/>
    <w:rsid w:val="003B76D6"/>
    <w:rsid w:val="003E2601"/>
    <w:rsid w:val="003F4E6B"/>
    <w:rsid w:val="0044220F"/>
    <w:rsid w:val="004651C1"/>
    <w:rsid w:val="004A26A3"/>
    <w:rsid w:val="004D51E7"/>
    <w:rsid w:val="004F0EDF"/>
    <w:rsid w:val="00522BF1"/>
    <w:rsid w:val="0058242E"/>
    <w:rsid w:val="00590166"/>
    <w:rsid w:val="005A256E"/>
    <w:rsid w:val="005C6E66"/>
    <w:rsid w:val="005D022B"/>
    <w:rsid w:val="005E3413"/>
    <w:rsid w:val="005E5BE9"/>
    <w:rsid w:val="00682DDF"/>
    <w:rsid w:val="0069427D"/>
    <w:rsid w:val="006F7A19"/>
    <w:rsid w:val="007213E1"/>
    <w:rsid w:val="00775389"/>
    <w:rsid w:val="00785984"/>
    <w:rsid w:val="00797838"/>
    <w:rsid w:val="007C356C"/>
    <w:rsid w:val="007C36D8"/>
    <w:rsid w:val="007F2744"/>
    <w:rsid w:val="00804426"/>
    <w:rsid w:val="00871625"/>
    <w:rsid w:val="008931BE"/>
    <w:rsid w:val="008C6385"/>
    <w:rsid w:val="008C67E3"/>
    <w:rsid w:val="008D4CF3"/>
    <w:rsid w:val="00914205"/>
    <w:rsid w:val="00921D45"/>
    <w:rsid w:val="009426C0"/>
    <w:rsid w:val="00956528"/>
    <w:rsid w:val="0096295D"/>
    <w:rsid w:val="00980A65"/>
    <w:rsid w:val="009943E2"/>
    <w:rsid w:val="009A66DB"/>
    <w:rsid w:val="009B2F80"/>
    <w:rsid w:val="009B3300"/>
    <w:rsid w:val="009B4D98"/>
    <w:rsid w:val="009F3380"/>
    <w:rsid w:val="00A02163"/>
    <w:rsid w:val="00A314FE"/>
    <w:rsid w:val="00A777C1"/>
    <w:rsid w:val="00AD7380"/>
    <w:rsid w:val="00B36AC8"/>
    <w:rsid w:val="00B40926"/>
    <w:rsid w:val="00B44B67"/>
    <w:rsid w:val="00B9455F"/>
    <w:rsid w:val="00BF36F8"/>
    <w:rsid w:val="00BF4622"/>
    <w:rsid w:val="00C844E2"/>
    <w:rsid w:val="00CD00B1"/>
    <w:rsid w:val="00CE42ED"/>
    <w:rsid w:val="00CE4372"/>
    <w:rsid w:val="00D22306"/>
    <w:rsid w:val="00D42542"/>
    <w:rsid w:val="00D8121C"/>
    <w:rsid w:val="00D944EE"/>
    <w:rsid w:val="00DC3290"/>
    <w:rsid w:val="00E22189"/>
    <w:rsid w:val="00E74069"/>
    <w:rsid w:val="00E81D35"/>
    <w:rsid w:val="00EB1F49"/>
    <w:rsid w:val="00F8310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0836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807964-5E3E-4238-B75B-9EBD7BDF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Timofei sh</dc:creator>
  <cp:lastModifiedBy>Георгий Сименидо</cp:lastModifiedBy>
  <cp:revision>8</cp:revision>
  <dcterms:created xsi:type="dcterms:W3CDTF">2025-03-07T12:21:00Z</dcterms:created>
  <dcterms:modified xsi:type="dcterms:W3CDTF">2025-03-09T18:12:00Z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