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02F4" w14:textId="0FD757DC" w:rsidR="00D964F6" w:rsidRPr="008D281B" w:rsidRDefault="00D964F6" w:rsidP="00497880">
      <w:pPr>
        <w:shd w:val="clear" w:color="auto" w:fill="FFFFFF"/>
        <w:jc w:val="center"/>
        <w:rPr>
          <w:color w:val="000000"/>
        </w:rPr>
      </w:pPr>
      <w:r>
        <w:rPr>
          <w:b/>
        </w:rPr>
        <w:t xml:space="preserve">Высокая эффективность </w:t>
      </w:r>
      <w:r w:rsidRPr="008D281B">
        <w:rPr>
          <w:b/>
        </w:rPr>
        <w:t>в пероксиоксалатной хемилюминесцентной реакции бис(2-пентилоксикарбонил фенил)оксалата</w:t>
      </w:r>
      <w:r>
        <w:rPr>
          <w:b/>
        </w:rPr>
        <w:t xml:space="preserve">, </w:t>
      </w:r>
      <w:proofErr w:type="spellStart"/>
      <w:r>
        <w:rPr>
          <w:b/>
        </w:rPr>
        <w:t>солюбилизованного</w:t>
      </w:r>
      <w:proofErr w:type="spellEnd"/>
      <w:r>
        <w:rPr>
          <w:b/>
        </w:rPr>
        <w:t xml:space="preserve"> в мицеллах блок-сополимера этиленоксида и молочной кислоты</w:t>
      </w:r>
      <w:r w:rsidRPr="008D281B">
        <w:rPr>
          <w:b/>
        </w:rPr>
        <w:t xml:space="preserve"> </w:t>
      </w:r>
    </w:p>
    <w:p w14:paraId="548F36C3" w14:textId="77777777" w:rsidR="00D964F6" w:rsidRDefault="00D964F6" w:rsidP="0049788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Горавнёв </w:t>
      </w:r>
      <w:proofErr w:type="spellStart"/>
      <w:r>
        <w:rPr>
          <w:b/>
          <w:i/>
          <w:color w:val="000000"/>
        </w:rPr>
        <w:t>К.Д</w:t>
      </w:r>
      <w:proofErr w:type="spellEnd"/>
      <w:r>
        <w:rPr>
          <w:b/>
          <w:i/>
          <w:color w:val="000000"/>
        </w:rPr>
        <w:t xml:space="preserve">., </w:t>
      </w:r>
      <w:r w:rsidRPr="002E7236">
        <w:rPr>
          <w:b/>
          <w:i/>
          <w:color w:val="000000"/>
        </w:rPr>
        <w:t xml:space="preserve">Фомин </w:t>
      </w:r>
      <w:proofErr w:type="spellStart"/>
      <w:r w:rsidRPr="002E7236">
        <w:rPr>
          <w:b/>
          <w:i/>
          <w:color w:val="000000"/>
        </w:rPr>
        <w:t>Е.О</w:t>
      </w:r>
      <w:proofErr w:type="spellEnd"/>
      <w:r w:rsidRPr="002E7236">
        <w:rPr>
          <w:b/>
          <w:i/>
          <w:color w:val="000000"/>
        </w:rPr>
        <w:t xml:space="preserve">., </w:t>
      </w:r>
      <w:r>
        <w:rPr>
          <w:b/>
          <w:i/>
          <w:color w:val="000000"/>
        </w:rPr>
        <w:t>Мелик-</w:t>
      </w:r>
      <w:proofErr w:type="spellStart"/>
      <w:r>
        <w:rPr>
          <w:b/>
          <w:i/>
          <w:color w:val="000000"/>
        </w:rPr>
        <w:t>Нубаров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Н.С</w:t>
      </w:r>
      <w:proofErr w:type="spellEnd"/>
      <w:r>
        <w:rPr>
          <w:b/>
          <w:i/>
          <w:color w:val="000000"/>
        </w:rPr>
        <w:t>.</w:t>
      </w:r>
    </w:p>
    <w:p w14:paraId="1534B4CE" w14:textId="77777777" w:rsidR="00D964F6" w:rsidRDefault="00D964F6" w:rsidP="0049788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 курс специалитета</w:t>
      </w:r>
    </w:p>
    <w:p w14:paraId="2208EDC6" w14:textId="77777777" w:rsidR="00D964F6" w:rsidRPr="000E334E" w:rsidRDefault="00D964F6" w:rsidP="0049788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14:paraId="4B967B7A" w14:textId="77777777" w:rsidR="00D964F6" w:rsidRPr="002E7236" w:rsidRDefault="00D964F6" w:rsidP="00080836">
      <w:pPr>
        <w:shd w:val="clear" w:color="auto" w:fill="FFFFFF"/>
        <w:jc w:val="center"/>
        <w:rPr>
          <w:color w:val="000000"/>
          <w:lang w:val="pt-BR"/>
        </w:rPr>
      </w:pPr>
      <w:r w:rsidRPr="002E7236">
        <w:rPr>
          <w:i/>
          <w:color w:val="000000"/>
          <w:lang w:val="pt-BR"/>
        </w:rPr>
        <w:t>E-mail</w:t>
      </w:r>
      <w:r w:rsidRPr="002E7236">
        <w:rPr>
          <w:i/>
          <w:color w:val="400040"/>
          <w:lang w:val="pt-BR"/>
        </w:rPr>
        <w:t xml:space="preserve">: </w:t>
      </w:r>
      <w:hyperlink r:id="rId4" w:history="1">
        <w:r w:rsidRPr="002E7236">
          <w:rPr>
            <w:rStyle w:val="ac"/>
            <w:i/>
            <w:color w:val="400040"/>
            <w:lang w:val="pt-BR"/>
          </w:rPr>
          <w:t>k.goravnev@yandex.ru</w:t>
        </w:r>
      </w:hyperlink>
    </w:p>
    <w:p w14:paraId="670BDA26" w14:textId="1C3BA501" w:rsidR="00D964F6" w:rsidRPr="001526D3" w:rsidRDefault="00D964F6" w:rsidP="00080836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Хемо-индуцированная фотодинамическая терапия (хемо-ФДТ)  ̶ это недавно предложенный подход к лечению рака, основанный на генерации в раковых клетках сильного </w:t>
      </w:r>
      <w:r w:rsidR="001526D3">
        <w:rPr>
          <w:color w:val="000000"/>
        </w:rPr>
        <w:t>окислителя</w:t>
      </w:r>
      <w:r w:rsidR="003A23A3">
        <w:rPr>
          <w:color w:val="000000"/>
        </w:rPr>
        <w:t xml:space="preserve"> –</w:t>
      </w:r>
      <w:r>
        <w:rPr>
          <w:color w:val="000000"/>
        </w:rPr>
        <w:t xml:space="preserve"> синглетного кислорода. В отличие от классической фотодинамической терапии (ФДТ), основанной на использовании фотосенсибилизаторов, накапливающихся в опухоли, и внешнего источника света, хемо-ФДТ использует хемилюминесцентную реакцию. Наиболее перспективна в этом отношении </w:t>
      </w:r>
      <w:proofErr w:type="spellStart"/>
      <w:r>
        <w:rPr>
          <w:color w:val="000000"/>
        </w:rPr>
        <w:t>пероксиоксалатная</w:t>
      </w:r>
      <w:proofErr w:type="spellEnd"/>
      <w:r>
        <w:rPr>
          <w:color w:val="000000"/>
        </w:rPr>
        <w:t xml:space="preserve"> хемилюминесцентная реакция (</w:t>
      </w:r>
      <w:proofErr w:type="spellStart"/>
      <w:r>
        <w:rPr>
          <w:color w:val="000000"/>
        </w:rPr>
        <w:t>ПО-реакция</w:t>
      </w:r>
      <w:proofErr w:type="spellEnd"/>
      <w:r>
        <w:rPr>
          <w:color w:val="000000"/>
        </w:rPr>
        <w:t>)</w:t>
      </w:r>
      <w:r w:rsidR="00E22A93">
        <w:rPr>
          <w:color w:val="000000"/>
        </w:rPr>
        <w:t>, протекающая</w:t>
      </w:r>
      <w:r w:rsidR="003A23A3">
        <w:rPr>
          <w:color w:val="000000"/>
        </w:rPr>
        <w:t xml:space="preserve"> </w:t>
      </w:r>
      <w:r>
        <w:rPr>
          <w:color w:val="000000"/>
        </w:rPr>
        <w:t>между ароматическими эфирами щавелевой кислоты и пероксидом водорода в присутстви</w:t>
      </w:r>
      <w:r w:rsidR="00E22A93">
        <w:rPr>
          <w:color w:val="000000"/>
        </w:rPr>
        <w:t>и полиароматического соединения</w:t>
      </w:r>
      <w:r>
        <w:rPr>
          <w:color w:val="000000"/>
        </w:rPr>
        <w:t xml:space="preserve"> способного переходить в электронно-возбужденное состояние и генерировать синглетный кислород. </w:t>
      </w:r>
      <w:r w:rsidRPr="008D281B">
        <w:rPr>
          <w:color w:val="000000"/>
        </w:rPr>
        <w:t xml:space="preserve">Поскольку раковые клетки продуцируют повышенные количества пероксида </w:t>
      </w:r>
      <w:r w:rsidRPr="00406325">
        <w:rPr>
          <w:color w:val="000000"/>
        </w:rPr>
        <w:t xml:space="preserve">водорода </w:t>
      </w:r>
      <w:r w:rsidRPr="00EC31C4">
        <w:rPr>
          <w:color w:val="000000"/>
        </w:rPr>
        <w:t>[</w:t>
      </w:r>
      <w:r>
        <w:rPr>
          <w:color w:val="000000"/>
        </w:rPr>
        <w:t>1</w:t>
      </w:r>
      <w:r w:rsidRPr="00EC31C4">
        <w:rPr>
          <w:color w:val="000000"/>
        </w:rPr>
        <w:t>],</w:t>
      </w:r>
      <w:r w:rsidRPr="008D281B">
        <w:rPr>
          <w:color w:val="000000"/>
        </w:rPr>
        <w:t xml:space="preserve"> данный подход может обеспечить селективное уничтожение раковых клеток.</w:t>
      </w:r>
    </w:p>
    <w:p w14:paraId="3C17EA9A" w14:textId="705E73AF" w:rsidR="00B30375" w:rsidRDefault="00507C3F" w:rsidP="00507C3F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66F767BE" wp14:editId="0053EE0E">
            <wp:extent cx="5011200" cy="1440000"/>
            <wp:effectExtent l="0" t="0" r="0" b="8255"/>
            <wp:docPr id="20254227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22712" name="Рисунок 2025422712"/>
                    <pic:cNvPicPr/>
                  </pic:nvPicPr>
                  <pic:blipFill rotWithShape="1">
                    <a:blip r:embed="rId5"/>
                    <a:srcRect b="61673"/>
                    <a:stretch/>
                  </pic:blipFill>
                  <pic:spPr bwMode="auto">
                    <a:xfrm>
                      <a:off x="0" y="0"/>
                      <a:ext cx="501120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CF7C0" w14:textId="66ED4DBC" w:rsidR="00B30375" w:rsidRDefault="00B30375" w:rsidP="00507C3F">
      <w:pPr>
        <w:shd w:val="clear" w:color="auto" w:fill="FFFFFF"/>
        <w:jc w:val="center"/>
      </w:pPr>
      <w:r>
        <w:t>Рис. 1 Структура оксалатов, использованного полимера и полимерных мицелл.</w:t>
      </w:r>
    </w:p>
    <w:p w14:paraId="5F91A3E6" w14:textId="7C8FF301" w:rsidR="00B30375" w:rsidRDefault="00D964F6" w:rsidP="00080836">
      <w:pPr>
        <w:shd w:val="clear" w:color="auto" w:fill="FFFFFF"/>
        <w:ind w:firstLine="397"/>
        <w:jc w:val="both"/>
      </w:pPr>
      <w:r w:rsidRPr="008D281B">
        <w:rPr>
          <w:color w:val="000000"/>
        </w:rPr>
        <w:t xml:space="preserve">Ключевым компонентом ПО-реакции является ароматический эфир щавелевой кислоты, реагирующий с пероксидом водорода. </w:t>
      </w:r>
      <w:r>
        <w:t>О</w:t>
      </w:r>
      <w:r w:rsidRPr="005A31FF">
        <w:t xml:space="preserve">собенностью </w:t>
      </w:r>
      <w:r>
        <w:t xml:space="preserve">ароматических </w:t>
      </w:r>
      <w:r w:rsidRPr="005A31FF">
        <w:t>оксалатов, определяющей их способность к реакции с перокс</w:t>
      </w:r>
      <w:r>
        <w:t xml:space="preserve">идом водорода, является их </w:t>
      </w:r>
      <w:proofErr w:type="spellStart"/>
      <w:r>
        <w:t>электрофильность</w:t>
      </w:r>
      <w:proofErr w:type="spellEnd"/>
      <w:r>
        <w:t xml:space="preserve">. Именно поэтому ароматические оксалаты чрезвычайно легко гидролизуются в водной среде. Рассмотрение формальной кинетики ПО-реакции в водной среде показывает, что эффективность оксалата </w:t>
      </w:r>
      <w:r w:rsidR="00AE5DE8">
        <w:t xml:space="preserve">при низкой концентрации пероксида водорода </w:t>
      </w:r>
      <w:r>
        <w:t xml:space="preserve">определяется соотношением констант скорости реакции оксалата с пероксидом водорода и водой (далее, селективность реакции по отношению к пероксиду водорода). </w:t>
      </w:r>
    </w:p>
    <w:p w14:paraId="031FADF3" w14:textId="03E9831C" w:rsidR="00D964F6" w:rsidRPr="00080836" w:rsidRDefault="00D964F6" w:rsidP="00080836">
      <w:pPr>
        <w:shd w:val="clear" w:color="auto" w:fill="FFFFFF"/>
        <w:ind w:firstLine="397"/>
        <w:jc w:val="both"/>
        <w:rPr>
          <w:color w:val="000000"/>
        </w:rPr>
      </w:pPr>
      <w:r>
        <w:t xml:space="preserve">В данной работе мы проанализировали этот параметр для синтезированного в нашей лаборатории </w:t>
      </w:r>
      <w:r w:rsidRPr="008D281B">
        <w:rPr>
          <w:color w:val="000000"/>
        </w:rPr>
        <w:t>бис(2-</w:t>
      </w:r>
      <w:r>
        <w:rPr>
          <w:color w:val="000000"/>
        </w:rPr>
        <w:t>пентилоксикарбонилоксалата) (2-</w:t>
      </w:r>
      <w:r w:rsidRPr="008D281B">
        <w:rPr>
          <w:color w:val="000000"/>
        </w:rPr>
        <w:t>PC</w:t>
      </w:r>
      <w:r>
        <w:rPr>
          <w:color w:val="000000"/>
        </w:rPr>
        <w:t>Р</w:t>
      </w:r>
      <w:r w:rsidRPr="008D281B">
        <w:rPr>
          <w:color w:val="000000"/>
        </w:rPr>
        <w:t>O)</w:t>
      </w:r>
      <w:r>
        <w:rPr>
          <w:color w:val="000000"/>
        </w:rPr>
        <w:t xml:space="preserve"> </w:t>
      </w:r>
      <w:r w:rsidR="00507C3F" w:rsidRPr="00507C3F">
        <w:rPr>
          <w:color w:val="000000"/>
        </w:rPr>
        <w:t>(</w:t>
      </w:r>
      <w:r w:rsidR="00507C3F">
        <w:rPr>
          <w:color w:val="000000"/>
        </w:rPr>
        <w:t xml:space="preserve">Рис. 1) </w:t>
      </w:r>
      <w:r>
        <w:rPr>
          <w:color w:val="000000"/>
        </w:rPr>
        <w:t xml:space="preserve">и обнаружили, что он примерно в 55000 раз быстрее реагирует с пероксидом водорода, чем разрушается водой. Это примерно в 30 раз больше, чем значение аналогичного соотношения для часто используемого в системах хемо-ФДТ </w:t>
      </w:r>
      <w:r w:rsidRPr="008D281B">
        <w:rPr>
          <w:color w:val="000000"/>
        </w:rPr>
        <w:t>бис(2,4,5-трихлор-(6-пентилоксикарбонил)оксалат</w:t>
      </w:r>
      <w:r>
        <w:rPr>
          <w:color w:val="000000"/>
        </w:rPr>
        <w:t>а</w:t>
      </w:r>
      <w:r w:rsidRPr="008D281B">
        <w:rPr>
          <w:color w:val="000000"/>
        </w:rPr>
        <w:t xml:space="preserve"> (CPPO)</w:t>
      </w:r>
      <w:r>
        <w:rPr>
          <w:color w:val="000000"/>
        </w:rPr>
        <w:t xml:space="preserve">. </w:t>
      </w:r>
      <w:bookmarkStart w:id="0" w:name="_Ref167017213"/>
      <w:bookmarkStart w:id="1" w:name="_Hlk167895720"/>
      <w:r>
        <w:rPr>
          <w:color w:val="000000"/>
        </w:rPr>
        <w:t>Солюбилизация 2-РСРО в мицеллах блок-сополимера полиэтиленгликоля</w:t>
      </w:r>
      <w:r w:rsidR="00E22A93">
        <w:rPr>
          <w:color w:val="000000"/>
        </w:rPr>
        <w:t xml:space="preserve"> и молочной кислоты</w:t>
      </w:r>
      <w:r>
        <w:rPr>
          <w:color w:val="000000"/>
        </w:rPr>
        <w:t xml:space="preserve"> </w:t>
      </w:r>
      <w:r w:rsidR="00507C3F">
        <w:rPr>
          <w:color w:val="000000"/>
        </w:rPr>
        <w:t xml:space="preserve">(Рис. 1) </w:t>
      </w:r>
      <w:r>
        <w:rPr>
          <w:color w:val="000000"/>
        </w:rPr>
        <w:t>позволила замедлить гидролиз почти на 2 порядка с сохранением селективности реакции по отношению к пероксиду водорода. Полученные данные указывают на важную роль стерического фактора в активности оксалатов.</w:t>
      </w:r>
      <w:bookmarkEnd w:id="0"/>
      <w:bookmarkEnd w:id="1"/>
    </w:p>
    <w:p w14:paraId="6ECC342B" w14:textId="4F7CE17B" w:rsidR="00080836" w:rsidRPr="00B30375" w:rsidRDefault="00080836" w:rsidP="00E22A93">
      <w:pPr>
        <w:shd w:val="clear" w:color="auto" w:fill="FFFFFF"/>
        <w:ind w:firstLine="397"/>
        <w:jc w:val="both"/>
        <w:rPr>
          <w:i/>
          <w:iCs/>
          <w:lang w:val="en-US"/>
        </w:rPr>
      </w:pPr>
      <w:r w:rsidRPr="00080836">
        <w:rPr>
          <w:i/>
          <w:iCs/>
        </w:rPr>
        <w:t xml:space="preserve">Работа была выполнена в качестве части проекта «Современные проблемы химии и физикохимии макромолекул» (Государственное задание </w:t>
      </w:r>
      <w:r w:rsidRPr="00080836">
        <w:rPr>
          <w:i/>
          <w:iCs/>
          <w:lang w:val="en-US"/>
        </w:rPr>
        <w:t>No</w:t>
      </w:r>
      <w:r w:rsidRPr="00080836">
        <w:rPr>
          <w:i/>
          <w:iCs/>
        </w:rPr>
        <w:t xml:space="preserve">. </w:t>
      </w:r>
      <w:r w:rsidRPr="00080836">
        <w:rPr>
          <w:i/>
          <w:iCs/>
          <w:lang w:val="en-US"/>
        </w:rPr>
        <w:t>AAAA</w:t>
      </w:r>
      <w:r w:rsidRPr="00B30375">
        <w:rPr>
          <w:i/>
          <w:iCs/>
          <w:lang w:val="en-US"/>
        </w:rPr>
        <w:t>-</w:t>
      </w:r>
      <w:r w:rsidRPr="00080836">
        <w:rPr>
          <w:i/>
          <w:iCs/>
          <w:lang w:val="en-US"/>
        </w:rPr>
        <w:t>A</w:t>
      </w:r>
      <w:r w:rsidRPr="00B30375">
        <w:rPr>
          <w:i/>
          <w:iCs/>
          <w:lang w:val="en-US"/>
        </w:rPr>
        <w:t>21-121011990022-4).</w:t>
      </w:r>
    </w:p>
    <w:p w14:paraId="7160F1BB" w14:textId="77777777" w:rsidR="00D964F6" w:rsidRPr="002E7236" w:rsidRDefault="00D964F6" w:rsidP="00497880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1655014" w14:textId="79408D21" w:rsidR="00D964F6" w:rsidRPr="00497880" w:rsidRDefault="00D964F6" w:rsidP="00497880">
      <w:pPr>
        <w:shd w:val="clear" w:color="auto" w:fill="FFFFFF"/>
        <w:jc w:val="both"/>
      </w:pPr>
      <w:r w:rsidRPr="002E7236">
        <w:rPr>
          <w:lang w:val="en-US"/>
        </w:rPr>
        <w:t xml:space="preserve">1. López-Lázaro, M. A new view of carcinogenesis and an alternative approach to cancer therapy. </w:t>
      </w:r>
      <w:proofErr w:type="spellStart"/>
      <w:r w:rsidRPr="00497880">
        <w:t>Mol</w:t>
      </w:r>
      <w:proofErr w:type="spellEnd"/>
      <w:r w:rsidRPr="00497880">
        <w:t xml:space="preserve">. </w:t>
      </w:r>
      <w:proofErr w:type="spellStart"/>
      <w:r w:rsidRPr="00497880">
        <w:t>Med</w:t>
      </w:r>
      <w:proofErr w:type="spellEnd"/>
      <w:r w:rsidRPr="00497880">
        <w:t>. 2010, 16, 144–153.</w:t>
      </w:r>
    </w:p>
    <w:sectPr w:rsidR="00D964F6" w:rsidRPr="00497880" w:rsidSect="004978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2"/>
    <w:rsid w:val="00080836"/>
    <w:rsid w:val="00087F4E"/>
    <w:rsid w:val="000E334E"/>
    <w:rsid w:val="00147345"/>
    <w:rsid w:val="001526D3"/>
    <w:rsid w:val="00221582"/>
    <w:rsid w:val="002E7236"/>
    <w:rsid w:val="0033437B"/>
    <w:rsid w:val="003A23A3"/>
    <w:rsid w:val="00406325"/>
    <w:rsid w:val="004774D2"/>
    <w:rsid w:val="00480286"/>
    <w:rsid w:val="00497880"/>
    <w:rsid w:val="004B7B98"/>
    <w:rsid w:val="00507C3F"/>
    <w:rsid w:val="00523245"/>
    <w:rsid w:val="005A31FF"/>
    <w:rsid w:val="005E68CD"/>
    <w:rsid w:val="00663B8D"/>
    <w:rsid w:val="006E172D"/>
    <w:rsid w:val="008A22A8"/>
    <w:rsid w:val="008D281B"/>
    <w:rsid w:val="008D61E4"/>
    <w:rsid w:val="00A32D19"/>
    <w:rsid w:val="00A40D27"/>
    <w:rsid w:val="00A6573B"/>
    <w:rsid w:val="00AD365E"/>
    <w:rsid w:val="00AE5DE8"/>
    <w:rsid w:val="00B30375"/>
    <w:rsid w:val="00B747DE"/>
    <w:rsid w:val="00BA2B84"/>
    <w:rsid w:val="00C62298"/>
    <w:rsid w:val="00D964F6"/>
    <w:rsid w:val="00E22A93"/>
    <w:rsid w:val="00E5512D"/>
    <w:rsid w:val="00E63C7F"/>
    <w:rsid w:val="00EC31C4"/>
    <w:rsid w:val="00EF4A2C"/>
    <w:rsid w:val="00F54A4F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3ADAF"/>
  <w15:docId w15:val="{82C54D62-0EE7-4A3F-8062-385D1EAC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4D2"/>
    <w:pPr>
      <w:keepNext/>
      <w:keepLines/>
      <w:spacing w:before="360" w:after="80" w:line="259" w:lineRule="auto"/>
      <w:outlineLvl w:val="0"/>
    </w:pPr>
    <w:rPr>
      <w:rFonts w:ascii="Calibri Light" w:hAnsi="Calibri Light"/>
      <w:color w:val="2F5496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774D2"/>
    <w:pPr>
      <w:keepNext/>
      <w:keepLines/>
      <w:spacing w:before="160" w:after="80" w:line="259" w:lineRule="auto"/>
      <w:outlineLvl w:val="1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774D2"/>
    <w:pPr>
      <w:keepNext/>
      <w:keepLines/>
      <w:spacing w:before="160" w:after="80" w:line="259" w:lineRule="auto"/>
      <w:outlineLvl w:val="2"/>
    </w:pPr>
    <w:rPr>
      <w:rFonts w:ascii="Calibri" w:hAnsi="Calibri"/>
      <w:color w:val="2F5496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774D2"/>
    <w:pPr>
      <w:keepNext/>
      <w:keepLines/>
      <w:spacing w:before="80" w:after="40" w:line="259" w:lineRule="auto"/>
      <w:outlineLvl w:val="3"/>
    </w:pPr>
    <w:rPr>
      <w:rFonts w:ascii="Calibri" w:hAnsi="Calibri"/>
      <w:i/>
      <w:iCs/>
      <w:color w:val="2F5496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774D2"/>
    <w:pPr>
      <w:keepNext/>
      <w:keepLines/>
      <w:spacing w:before="80" w:after="40" w:line="259" w:lineRule="auto"/>
      <w:outlineLvl w:val="4"/>
    </w:pPr>
    <w:rPr>
      <w:rFonts w:ascii="Calibri" w:hAnsi="Calibri"/>
      <w:color w:val="2F5496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4774D2"/>
    <w:pPr>
      <w:keepNext/>
      <w:keepLines/>
      <w:spacing w:before="40" w:line="259" w:lineRule="auto"/>
      <w:outlineLvl w:val="5"/>
    </w:pPr>
    <w:rPr>
      <w:rFonts w:ascii="Calibri" w:hAnsi="Calibri"/>
      <w:i/>
      <w:iCs/>
      <w:color w:val="DB00DB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774D2"/>
    <w:pPr>
      <w:keepNext/>
      <w:keepLines/>
      <w:spacing w:before="40" w:line="259" w:lineRule="auto"/>
      <w:outlineLvl w:val="6"/>
    </w:pPr>
    <w:rPr>
      <w:rFonts w:ascii="Calibri" w:hAnsi="Calibri"/>
      <w:color w:val="DB00DB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774D2"/>
    <w:pPr>
      <w:keepNext/>
      <w:keepLines/>
      <w:spacing w:line="259" w:lineRule="auto"/>
      <w:outlineLvl w:val="7"/>
    </w:pPr>
    <w:rPr>
      <w:rFonts w:ascii="Calibri" w:hAnsi="Calibri"/>
      <w:i/>
      <w:iCs/>
      <w:color w:val="840084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774D2"/>
    <w:pPr>
      <w:keepNext/>
      <w:keepLines/>
      <w:spacing w:line="259" w:lineRule="auto"/>
      <w:outlineLvl w:val="8"/>
    </w:pPr>
    <w:rPr>
      <w:rFonts w:ascii="Calibri" w:hAnsi="Calibri"/>
      <w:color w:val="84008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4D2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4774D2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4774D2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4774D2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4774D2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4774D2"/>
    <w:rPr>
      <w:rFonts w:eastAsia="Times New Roman" w:cs="Times New Roman"/>
      <w:i/>
      <w:iCs/>
      <w:color w:val="DB00DB"/>
    </w:rPr>
  </w:style>
  <w:style w:type="character" w:customStyle="1" w:styleId="70">
    <w:name w:val="Заголовок 7 Знак"/>
    <w:link w:val="7"/>
    <w:uiPriority w:val="99"/>
    <w:semiHidden/>
    <w:locked/>
    <w:rsid w:val="004774D2"/>
    <w:rPr>
      <w:rFonts w:eastAsia="Times New Roman" w:cs="Times New Roman"/>
      <w:color w:val="DB00DB"/>
    </w:rPr>
  </w:style>
  <w:style w:type="character" w:customStyle="1" w:styleId="80">
    <w:name w:val="Заголовок 8 Знак"/>
    <w:link w:val="8"/>
    <w:uiPriority w:val="99"/>
    <w:semiHidden/>
    <w:locked/>
    <w:rsid w:val="004774D2"/>
    <w:rPr>
      <w:rFonts w:eastAsia="Times New Roman" w:cs="Times New Roman"/>
      <w:i/>
      <w:iCs/>
      <w:color w:val="840084"/>
    </w:rPr>
  </w:style>
  <w:style w:type="character" w:customStyle="1" w:styleId="90">
    <w:name w:val="Заголовок 9 Знак"/>
    <w:link w:val="9"/>
    <w:uiPriority w:val="99"/>
    <w:semiHidden/>
    <w:locked/>
    <w:rsid w:val="004774D2"/>
    <w:rPr>
      <w:rFonts w:eastAsia="Times New Roman" w:cs="Times New Roman"/>
      <w:color w:val="840084"/>
    </w:rPr>
  </w:style>
  <w:style w:type="paragraph" w:styleId="a3">
    <w:name w:val="Title"/>
    <w:basedOn w:val="a"/>
    <w:next w:val="a"/>
    <w:link w:val="a4"/>
    <w:uiPriority w:val="99"/>
    <w:qFormat/>
    <w:rsid w:val="004774D2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99"/>
    <w:locked/>
    <w:rsid w:val="004774D2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4774D2"/>
    <w:pPr>
      <w:numPr>
        <w:ilvl w:val="1"/>
      </w:numPr>
      <w:spacing w:after="160" w:line="259" w:lineRule="auto"/>
    </w:pPr>
    <w:rPr>
      <w:rFonts w:ascii="Calibri" w:hAnsi="Calibri"/>
      <w:color w:val="DB00DB"/>
      <w:spacing w:val="15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99"/>
    <w:locked/>
    <w:rsid w:val="004774D2"/>
    <w:rPr>
      <w:rFonts w:eastAsia="Times New Roman" w:cs="Times New Roman"/>
      <w:color w:val="DB00DB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774D2"/>
    <w:pPr>
      <w:spacing w:before="160" w:after="160" w:line="259" w:lineRule="auto"/>
      <w:jc w:val="center"/>
    </w:pPr>
    <w:rPr>
      <w:rFonts w:ascii="Calibri" w:eastAsia="Calibri" w:hAnsi="Calibri"/>
      <w:i/>
      <w:iCs/>
      <w:color w:val="AF00AF"/>
      <w:sz w:val="22"/>
      <w:szCs w:val="22"/>
      <w:lang w:eastAsia="en-US"/>
    </w:rPr>
  </w:style>
  <w:style w:type="character" w:customStyle="1" w:styleId="22">
    <w:name w:val="Цитата 2 Знак"/>
    <w:link w:val="21"/>
    <w:uiPriority w:val="99"/>
    <w:locked/>
    <w:rsid w:val="004774D2"/>
    <w:rPr>
      <w:rFonts w:cs="Times New Roman"/>
      <w:i/>
      <w:iCs/>
      <w:color w:val="AF00AF"/>
    </w:rPr>
  </w:style>
  <w:style w:type="paragraph" w:styleId="a7">
    <w:name w:val="List Paragraph"/>
    <w:basedOn w:val="a"/>
    <w:uiPriority w:val="99"/>
    <w:qFormat/>
    <w:rsid w:val="004774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Intense Emphasis"/>
    <w:uiPriority w:val="99"/>
    <w:qFormat/>
    <w:rsid w:val="004774D2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4774D2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2F5496"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99"/>
    <w:locked/>
    <w:rsid w:val="004774D2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4774D2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497880"/>
    <w:rPr>
      <w:rFonts w:cs="Times New Roman"/>
      <w:color w:val="0563C1"/>
      <w:u w:val="single"/>
    </w:rPr>
  </w:style>
  <w:style w:type="paragraph" w:styleId="ad">
    <w:name w:val="caption"/>
    <w:aliases w:val="Подпись к рисункам"/>
    <w:basedOn w:val="a"/>
    <w:next w:val="a"/>
    <w:autoRedefine/>
    <w:uiPriority w:val="99"/>
    <w:qFormat/>
    <w:rsid w:val="00497880"/>
    <w:pPr>
      <w:keepNext/>
      <w:spacing w:after="120"/>
      <w:ind w:firstLine="567"/>
      <w:jc w:val="center"/>
    </w:pPr>
    <w:rPr>
      <w:rFonts w:eastAsia="Calibri"/>
      <w:color w:val="000000"/>
      <w:lang w:eastAsia="en-US"/>
    </w:rPr>
  </w:style>
  <w:style w:type="character" w:styleId="ae">
    <w:name w:val="endnote reference"/>
    <w:uiPriority w:val="99"/>
    <w:semiHidden/>
    <w:rsid w:val="004978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hyperlink" Target="mailto:k.goravne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Высокая эффективность в пероксиоксалатной хемилюминесцентной реакции бис(2-пентилоксикарбонил фенил)оксалата, солюбилизованного в мицеллах блок-сополимера этиленоксида и молочной кислоты</dc:title>
  <dc:subject/>
  <dc:creator>Константин Горавнёв</dc:creator>
  <cp:keywords/>
  <dc:description/>
  <cp:lastModifiedBy>Константин Горавнёв</cp:lastModifiedBy>
  <cp:revision>5</cp:revision>
  <dcterms:created xsi:type="dcterms:W3CDTF">2025-03-03T08:27:00Z</dcterms:created>
  <dcterms:modified xsi:type="dcterms:W3CDTF">2025-03-03T15:28:00Z</dcterms:modified>
</cp:coreProperties>
</file>