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jc w:val="center"/>
        <w:rPr/>
      </w:pPr>
      <w:r>
        <w:rPr>
          <w:rFonts w:eastAsia="Times New Roman" w:cs="Times New Roman"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О</w:t>
      </w:r>
      <w:r>
        <w:rPr>
          <w:rFonts w:eastAsia="Times New Roman" w:cs="Times New Roman"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птимизация бислойных структур в растворах амфифильных диблок-сополимеров с гребнеобразным блоком: компьютерное моделирование</w:t>
      </w:r>
    </w:p>
    <w:p>
      <w:pPr>
        <w:pStyle w:val="Normal"/>
        <w:shd w:val="clear" w:fill="FFFFFF"/>
        <w:jc w:val="center"/>
        <w:rPr>
          <w:b/>
          <w:i/>
          <w:i/>
          <w:color w:val="000000"/>
          <w:vertAlign w:val="superscript"/>
        </w:rPr>
      </w:pPr>
      <w:r>
        <w:rPr>
          <w:rFonts w:eastAsia="Times New Roman" w:cs="Times New Roman"/>
          <w:b/>
          <w:i/>
          <w:color w:val="000000"/>
          <w:sz w:val="24"/>
          <w:szCs w:val="24"/>
        </w:rPr>
        <w:t>Белкина</w:t>
      </w:r>
      <w:r>
        <w:rPr>
          <w:b/>
          <w:i/>
          <w:color w:val="000000"/>
        </w:rPr>
        <w:t xml:space="preserve"> К.А.</w:t>
      </w:r>
      <w:r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  <w:position w:val="0"/>
          <w:sz w:val="24"/>
          <w:vertAlign w:val="baseline"/>
        </w:rPr>
        <w:t>,</w:t>
      </w:r>
      <w:r>
        <w:rPr>
          <w:b/>
          <w:i/>
          <w:color w:val="000000"/>
          <w:position w:val="0"/>
          <w:sz w:val="24"/>
          <w:vertAlign w:val="baseline"/>
        </w:rPr>
        <w:t>Б</w:t>
      </w:r>
      <w:r>
        <w:rPr>
          <w:b/>
          <w:i/>
          <w:color w:val="000000"/>
          <w:position w:val="0"/>
          <w:sz w:val="24"/>
          <w:vertAlign w:val="baseline"/>
        </w:rPr>
        <w:t>углаков А.</w:t>
      </w:r>
      <w:r>
        <w:rPr>
          <w:b/>
          <w:i/>
          <w:color w:val="000000"/>
          <w:position w:val="0"/>
          <w:sz w:val="24"/>
          <w:vertAlign w:val="baseline"/>
        </w:rPr>
        <w:t>И.</w:t>
      </w:r>
      <w:r>
        <w:rPr>
          <w:b/>
          <w:i/>
          <w:color w:val="000000"/>
          <w:vertAlign w:val="superscript"/>
        </w:rPr>
        <w:t>2</w:t>
      </w:r>
    </w:p>
    <w:p>
      <w:pPr>
        <w:pStyle w:val="Normal"/>
        <w:shd w:val="clear" w:fill="FFFFFF"/>
        <w:jc w:val="center"/>
        <w:rPr/>
      </w:pPr>
      <w:r>
        <w:rPr>
          <w:i/>
          <w:color w:val="000000"/>
        </w:rPr>
        <w:t xml:space="preserve">Студент, </w:t>
      </w:r>
      <w:r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>
        <w:rPr>
          <w:rFonts w:eastAsia="Times New Roman" w:cs="Times New Roman"/>
          <w:i/>
          <w:color w:val="000000"/>
          <w:sz w:val="24"/>
          <w:szCs w:val="24"/>
        </w:rPr>
        <w:t>магистратуры</w:t>
      </w:r>
      <w:r>
        <w:rPr>
          <w:i/>
          <w:color w:val="000000"/>
        </w:rPr>
        <w:t xml:space="preserve"> </w:t>
      </w:r>
    </w:p>
    <w:p>
      <w:pPr>
        <w:pStyle w:val="Normal"/>
        <w:shd w:val="clear" w:fill="FFFFFF"/>
        <w:jc w:val="center"/>
        <w:rPr/>
      </w:pPr>
      <w:r>
        <w:rPr>
          <w:i/>
          <w:color w:val="000000"/>
          <w:vertAlign w:val="superscript"/>
        </w:rPr>
        <w:t>1</w:t>
      </w:r>
      <w:r>
        <w:rPr>
          <w:rFonts w:eastAsia="Times New Roman" w:cs="Times New Roman"/>
          <w:i/>
          <w:color w:val="000000"/>
          <w:position w:val="0"/>
          <w:sz w:val="24"/>
          <w:sz w:val="24"/>
          <w:szCs w:val="24"/>
          <w:vertAlign w:val="baseline"/>
          <w:lang w:val="ru-RU"/>
        </w:rPr>
        <w:t>Московский физико-технический институт (национальный исследовательский университет), Московская облаcть</w:t>
      </w:r>
      <w:r>
        <w:rPr>
          <w:rFonts w:eastAsia="Times New Roman" w:cs="Times New Roman"/>
          <w:i/>
          <w:color w:val="000000"/>
          <w:sz w:val="24"/>
          <w:szCs w:val="24"/>
        </w:rPr>
        <w:t>, Долгопрудный, Россия</w:t>
      </w:r>
    </w:p>
    <w:p>
      <w:pPr>
        <w:pStyle w:val="Normal"/>
        <w:shd w:val="clear" w:fill="FFFFFF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i/>
          <w:color w:val="000000"/>
          <w:position w:val="0"/>
          <w:sz w:val="24"/>
          <w:sz w:val="24"/>
          <w:szCs w:val="24"/>
          <w:vertAlign w:val="baseline"/>
          <w:lang w:val="ru-RU"/>
        </w:rPr>
        <w:t>Институт элементоорганических соединений им. А.Н. Несмеянова</w:t>
      </w:r>
    </w:p>
    <w:p>
      <w:pPr>
        <w:pStyle w:val="Normal"/>
        <w:shd w:val="clear" w:fill="FFFFFF"/>
        <w:jc w:val="center"/>
        <w:rPr/>
      </w:pPr>
      <w:r>
        <w:rPr>
          <w:rFonts w:eastAsia="Times New Roman" w:cs="Times New Roman"/>
          <w:i/>
          <w:color w:val="000000"/>
          <w:position w:val="0"/>
          <w:sz w:val="24"/>
          <w:sz w:val="24"/>
          <w:szCs w:val="24"/>
          <w:vertAlign w:val="baseline"/>
          <w:lang w:val="ru-RU"/>
        </w:rPr>
        <w:t>Российской академии наук</w:t>
      </w:r>
      <w:r>
        <w:rPr>
          <w:rFonts w:eastAsia="Times New Roman" w:cs="Times New Roman"/>
          <w:i/>
          <w:color w:val="000000"/>
          <w:sz w:val="24"/>
          <w:szCs w:val="24"/>
        </w:rPr>
        <w:t>, Москва, Россия</w:t>
      </w:r>
      <w:r>
        <w:rPr>
          <w:i/>
          <w:color w:val="000000"/>
        </w:rPr>
        <w:br/>
        <w:t xml:space="preserve">E-mail: </w:t>
      </w:r>
      <w:r>
        <w:rPr>
          <w:rFonts w:eastAsia="Times New Roman" w:cs="Times New Roman"/>
          <w:i/>
          <w:color w:val="000000"/>
          <w:sz w:val="24"/>
          <w:szCs w:val="24"/>
          <w:u w:val="single"/>
        </w:rPr>
        <w:t>belkina.ka</w:t>
      </w:r>
      <w:hyperlink r:id="rId2">
        <w:r>
          <w:rPr>
            <w:rStyle w:val="ListLabel1"/>
            <w:i/>
            <w:color w:val="000000"/>
            <w:u w:val="single"/>
          </w:rPr>
          <w:t>@</w:t>
        </w:r>
      </w:hyperlink>
      <w:hyperlink r:id="rId3">
        <w:r>
          <w:rPr>
            <w:rStyle w:val="ListLabel2"/>
            <w:rFonts w:eastAsia="Times New Roman" w:cs="Times New Roman"/>
            <w:i/>
            <w:color w:val="000000"/>
            <w:sz w:val="24"/>
            <w:szCs w:val="24"/>
            <w:u w:val="single"/>
          </w:rPr>
          <w:t>phystech</w:t>
        </w:r>
      </w:hyperlink>
      <w:hyperlink r:id="rId4">
        <w:r>
          <w:rPr>
            <w:rStyle w:val="ListLabel1"/>
            <w:i/>
            <w:color w:val="000000"/>
            <w:u w:val="single"/>
          </w:rPr>
          <w:t>.ru</w:t>
        </w:r>
      </w:hyperlink>
      <w:r>
        <w:rPr>
          <w:i/>
          <w:color w:val="000000"/>
        </w:rPr>
        <w:t xml:space="preserve"> </w:t>
      </w:r>
    </w:p>
    <w:p>
      <w:pPr>
        <w:pStyle w:val="Normal"/>
        <w:pBdr/>
        <w:shd w:val="clear" w:color="auto" w:fill="FFFFFF"/>
        <w:ind w:firstLine="397"/>
        <w:jc w:val="both"/>
        <w:rPr/>
      </w:pPr>
      <w:r>
        <w:rPr>
          <w:color w:val="000000"/>
        </w:rPr>
        <w:t xml:space="preserve">Амфифильные сополимеры нашли широкое применение для создания функциональных материалов и средств доставки лекарственных агентов. Способность контролировать самоорганизацию таких полимеров является одной из ключевых задач при создании новых материалов. При этом желаемые свойства таких систем могут быть получены варьированием как архитектурных и молекулярных параметров полимера, так и качества растворителя. </w:t>
      </w:r>
      <w:r>
        <w:rPr>
          <w:rFonts w:eastAsia="Times New Roman" w:cs="Times New Roman"/>
          <w:color w:val="000000"/>
          <w:sz w:val="24"/>
          <w:szCs w:val="24"/>
        </w:rPr>
        <w:t>Введение в один из блоков амфифильности на уровне повторяющегося звена увеличивает функциональность таких полимеров, а также вносит новый характерный масштаб структурирования систем на их основе [1].</w:t>
      </w:r>
    </w:p>
    <w:p>
      <w:pPr>
        <w:pStyle w:val="Normal"/>
        <w:pBdr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>
        <w:rPr>
          <w:rFonts w:eastAsia="Times New Roman" w:cs="Times New Roman"/>
          <w:color w:val="000000"/>
          <w:sz w:val="24"/>
          <w:szCs w:val="24"/>
        </w:rPr>
        <w:t>в рамках мезоскопического компьютерного моделирования [2] была разработана с</w:t>
      </w: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хема направленного поиска параметров сополимеров, при которых наблюдается самосборка везикул в растворе амфифильных сополимеров.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сследованы характерные особенности </w:t>
      </w:r>
      <w:r>
        <w:rPr>
          <w:color w:val="000000"/>
        </w:rPr>
        <w:t>самоорганизации</w:t>
      </w:r>
      <w:r>
        <w:rPr>
          <w:color w:val="000000"/>
        </w:rPr>
        <w:t xml:space="preserve"> диблок-сополимеров с разветвленным и линейным блоками. Определены области существования везикул амфифильных сополимеров в пространстве параметров качества растворителя, размера боковых цепей и их плотности пришивки, объемные доли блоков полимера и его концентрации. Также построены диаграммы состояний растворов с использованием методов активного обучения [3].</w:t>
      </w:r>
    </w:p>
    <w:p>
      <w:pPr>
        <w:pStyle w:val="Normal"/>
        <w:pBdr/>
        <w:shd w:val="clear" w:color="auto" w:fill="FFFFFF"/>
        <w:ind w:firstLine="397"/>
        <w:jc w:val="both"/>
        <w:rPr/>
      </w:pPr>
      <w:r>
        <w:rPr>
          <w:color w:val="000000"/>
        </w:rPr>
        <w:t>Показано, что разработанная методология оптимизации позволяет существенно ускорить поиск желаемых морфологий агрегатов амфифильных гребнеобразных сополимеров и обладает достаточной универсальностью для применения к макромолекулам различных классов. Разработанные вероятностные модели применены к задаче подбора архитектурных и молекулярных параметров полимеров, самоорганизация которых приводит к формированию мембранных структур (везикул).</w:t>
      </w:r>
    </w:p>
    <w:p>
      <w:pPr>
        <w:pStyle w:val="Normal"/>
        <w:pBdr/>
        <w:shd w:val="clear" w:color="auto" w:fill="FFFFFF"/>
        <w:ind w:firstLine="397"/>
        <w:jc w:val="both"/>
        <w:rPr>
          <w:rFonts w:eastAsia="Times New Roman" w:cs="Times New Roman"/>
          <w:i/>
          <w:i/>
          <w:iCs/>
          <w:color w:val="000000"/>
          <w:sz w:val="24"/>
          <w:szCs w:val="24"/>
        </w:rPr>
      </w:pPr>
      <w:r>
        <w:rPr/>
      </w:r>
    </w:p>
    <w:p>
      <w:pPr>
        <w:pStyle w:val="Normal"/>
        <w:pBdr/>
        <w:shd w:val="clear" w:color="auto" w:fill="FFFFFF"/>
        <w:ind w:firstLine="397"/>
        <w:jc w:val="both"/>
        <w:rPr/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Работа выполнена при поддержке гранта РНФ № 19-73-20104-П. Моделирование проводилось на оборудовании Центра коллективного пользования сверхвысокопроизводительными вычислительными ресурсами МГУ имени М.В. Ломоносова.</w:t>
      </w:r>
    </w:p>
    <w:p>
      <w:pPr>
        <w:pStyle w:val="Normal"/>
        <w:shd w:val="clear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>
      <w:pPr>
        <w:pStyle w:val="Normal"/>
        <w:shd w:val="clear" w:fill="FFFFFF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 xml:space="preserve">. </w:t>
      </w:r>
      <w:r>
        <w:rPr>
          <w:rFonts w:eastAsia="Times New Roman" w:cs="Times New Roman"/>
          <w:i w:val="false"/>
          <w:iCs w:val="false"/>
          <w:color w:val="000000"/>
          <w:kern w:val="0"/>
          <w:sz w:val="24"/>
          <w:szCs w:val="24"/>
          <w:lang w:val="en-US" w:eastAsia="ru-RU" w:bidi="ar-SA"/>
        </w:rPr>
        <w:t>Pavlenko S.A., Larin D.E., Govorun E.N. Self-assembly of hydrophobic–amphiphilic diblock copolymers in solution // J. Phys.: Condens. Matter. 2022. Vol. 34.</w:t>
      </w:r>
    </w:p>
    <w:p>
      <w:pPr>
        <w:pStyle w:val="Normal"/>
        <w:shd w:val="clear" w:fill="FFFFFF"/>
        <w:jc w:val="both"/>
        <w:rPr/>
      </w:pPr>
      <w:r>
        <w:rPr>
          <w:color w:val="000000"/>
          <w:lang w:val="en-US"/>
        </w:rPr>
        <w:t xml:space="preserve">2.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Groot R.D., Warren P.B.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 xml:space="preserve">Dissipative particle dynamics: Bridging the gap between atomistic and mesoscopic simulation // J. Chem. Phys. 1997. Vol.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 xml:space="preserve">107. P.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4423.</w:t>
      </w:r>
    </w:p>
    <w:p>
      <w:pPr>
        <w:pStyle w:val="Normal"/>
        <w:shd w:val="clear" w:fill="FFFFFF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  <w:t>3. Chengyu Dai, Glotzer S.C. Efficient Phase Diagram Sampling by Active Learning // J. Phys. Chem. B. 2020. Vol. 124, 7. P. 1275–1284.</w:t>
      </w:r>
    </w:p>
    <w:p>
      <w:pPr>
        <w:pStyle w:val="Normal"/>
        <w:shd w:val="clear" w:fill="FFFFFF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4"/>
          <w:szCs w:val="24"/>
          <w:lang w:val="en-US" w:eastAsia="ru-RU" w:bidi="ar-SA"/>
        </w:rPr>
      </w:pPr>
      <w:r>
        <w:rPr/>
      </w:r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Абзац списка Знак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en-US"/>
    </w:rPr>
  </w:style>
  <w:style w:type="numbering" w:styleId="Style11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yandex.ru" TargetMode="External"/><Relationship Id="rId3" Type="http://schemas.openxmlformats.org/officeDocument/2006/relationships/hyperlink" Target="mailto:ivanov@yandex.ru" TargetMode="External"/><Relationship Id="rId4" Type="http://schemas.openxmlformats.org/officeDocument/2006/relationships/hyperlink" Target="mailto:ivanov@yandex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Application>LibreOffice/24.2.7.2$Linux_X86_64 LibreOffice_project/420$Build-2</Application>
  <AppVersion>15.0000</AppVersion>
  <DocSecurity>0</DocSecurity>
  <Pages>1</Pages>
  <Words>327</Words>
  <Characters>2490</Characters>
  <CharactersWithSpaces>2803</CharactersWithSpaces>
  <Paragraphs>14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/>
  <dc:description/>
  <dc:language>en-US</dc:language>
  <cp:lastModifiedBy/>
  <dcterms:modified xsi:type="dcterms:W3CDTF">2025-03-09T23:44:09Z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Mendeley Citation Style_1">
    <vt:lpwstr>http://www.zotero.org/styles/gost-r-7-0-5-2008-numeric</vt:lpwstr>
  </property>
  <property fmtid="{D5CDD505-2E9C-101B-9397-08002B2CF9AE}" pid="5" name="Mendeley Document_1">
    <vt:lpwstr>True</vt:lpwstr>
  </property>
  <property fmtid="{D5CDD505-2E9C-101B-9397-08002B2CF9AE}" pid="6" name="Mendeley Recent Style Id 0_1">
    <vt:lpwstr>http://www.zotero.org/styles/chicago-author-date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Id 2_1">
    <vt:lpwstr>http://www.zotero.org/styles/ieee</vt:lpwstr>
  </property>
  <property fmtid="{D5CDD505-2E9C-101B-9397-08002B2CF9AE}" pid="9" name="Mendeley Recent Style Id 3_1">
    <vt:lpwstr>http://www.zotero.org/styles/modern-humanities-research-association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Id 5_1">
    <vt:lpwstr>http://www.zotero.org/styles/nature</vt:lpwstr>
  </property>
  <property fmtid="{D5CDD505-2E9C-101B-9397-08002B2CF9AE}" pid="12" name="Mendeley Recent Style Id 6_1">
    <vt:lpwstr>http://www.zotero.org/styles/russian-chemical-reviews</vt:lpwstr>
  </property>
  <property fmtid="{D5CDD505-2E9C-101B-9397-08002B2CF9AE}" pid="13" name="Mendeley Recent Style Id 7_1">
    <vt:lpwstr>http://www.zotero.org/styles/gost-r-7-0-5-2008</vt:lpwstr>
  </property>
  <property fmtid="{D5CDD505-2E9C-101B-9397-08002B2CF9AE}" pid="14" name="Mendeley Recent Style Id 8_1">
    <vt:lpwstr>http://www.zotero.org/styles/gost-r-7-0-5-2008-numeric</vt:lpwstr>
  </property>
  <property fmtid="{D5CDD505-2E9C-101B-9397-08002B2CF9AE}" pid="15" name="Mendeley Recent Style Id 9_1">
    <vt:lpwstr>http://csl.mendeley.com/styles/7762213/gost-r-7-0-5-2008-numeric-3</vt:lpwstr>
  </property>
  <property fmtid="{D5CDD505-2E9C-101B-9397-08002B2CF9AE}" pid="16" name="Mendeley Recent Style Name 0_1">
    <vt:lpwstr>Chicago Manual of Style 17th edition (author-date)</vt:lpwstr>
  </property>
  <property fmtid="{D5CDD505-2E9C-101B-9397-08002B2CF9AE}" pid="17" name="Mendeley Recent Style Name 1_1">
    <vt:lpwstr>Cite Them Right 10th edition - Harvard</vt:lpwstr>
  </property>
  <property fmtid="{D5CDD505-2E9C-101B-9397-08002B2CF9AE}" pid="18" name="Mendeley Recent Style Name 2_1">
    <vt:lpwstr>IEEE</vt:lpwstr>
  </property>
  <property fmtid="{D5CDD505-2E9C-101B-9397-08002B2CF9AE}" pid="19" name="Mendeley Recent Style Name 3_1">
    <vt:lpwstr>Modern Humanities Research Association 3rd edition (note with bibliography)</vt:lpwstr>
  </property>
  <property fmtid="{D5CDD505-2E9C-101B-9397-08002B2CF9AE}" pid="20" name="Mendeley Recent Style Name 4_1">
    <vt:lpwstr>Modern Language Association 8th edition</vt:lpwstr>
  </property>
  <property fmtid="{D5CDD505-2E9C-101B-9397-08002B2CF9AE}" pid="21" name="Mendeley Recent Style Name 5_1">
    <vt:lpwstr>Nature</vt:lpwstr>
  </property>
  <property fmtid="{D5CDD505-2E9C-101B-9397-08002B2CF9AE}" pid="22" name="Mendeley Recent Style Name 6_1">
    <vt:lpwstr>Russian Chemical Reviews</vt:lpwstr>
  </property>
  <property fmtid="{D5CDD505-2E9C-101B-9397-08002B2CF9AE}" pid="23" name="Mendeley Recent Style Name 7_1">
    <vt:lpwstr>Russian GOST R 7.0.5-2008 (Russian)</vt:lpwstr>
  </property>
  <property fmtid="{D5CDD505-2E9C-101B-9397-08002B2CF9AE}" pid="24" name="Mendeley Recent Style Name 8_1">
    <vt:lpwstr>Russian GOST R 7.0.5-2008 (numeric)</vt:lpwstr>
  </property>
  <property fmtid="{D5CDD505-2E9C-101B-9397-08002B2CF9AE}" pid="25" name="Mendeley Recent Style Name 9_1">
    <vt:lpwstr>Russian GOST R 7.0.5-2008 (numeric) - Alexander Dzuban</vt:lpwstr>
  </property>
  <property fmtid="{D5CDD505-2E9C-101B-9397-08002B2CF9AE}" pid="26" name="Mendeley Unique User Id_1">
    <vt:lpwstr>b09b180f-15e6-39a8-8e02-e401af1d2283</vt:lpwstr>
  </property>
  <property fmtid="{D5CDD505-2E9C-101B-9397-08002B2CF9AE}" pid="27" name="ScaleCrop">
    <vt:bool>0</vt:bool>
  </property>
  <property fmtid="{D5CDD505-2E9C-101B-9397-08002B2CF9AE}" pid="28" name="ShareDoc">
    <vt:bool>0</vt:bool>
  </property>
</Properties>
</file>