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E30D925" w:rsidR="00130241" w:rsidRDefault="00EE0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Композиционные катодные материалы </w:t>
      </w:r>
      <w:r>
        <w:rPr>
          <w:b/>
          <w:color w:val="000000"/>
          <w:lang w:val="en-AU"/>
        </w:rPr>
        <w:t>LFP</w:t>
      </w:r>
      <w:r w:rsidRPr="00EE06E3">
        <w:rPr>
          <w:b/>
          <w:color w:val="000000"/>
        </w:rPr>
        <w:t>/</w:t>
      </w:r>
      <w:r>
        <w:rPr>
          <w:b/>
          <w:color w:val="000000"/>
        </w:rPr>
        <w:t>ОУНТ</w:t>
      </w:r>
      <w:r w:rsidR="00432208">
        <w:rPr>
          <w:b/>
          <w:color w:val="000000"/>
        </w:rPr>
        <w:t xml:space="preserve"> без токосъемника для энергоёмких</w:t>
      </w:r>
      <w:r>
        <w:rPr>
          <w:b/>
          <w:color w:val="000000"/>
        </w:rPr>
        <w:t xml:space="preserve"> литий – ионных</w:t>
      </w:r>
      <w:r w:rsidR="00432208">
        <w:rPr>
          <w:b/>
          <w:color w:val="000000"/>
        </w:rPr>
        <w:t xml:space="preserve"> аккумуляторов </w:t>
      </w:r>
      <w:r w:rsidR="00921D45">
        <w:rPr>
          <w:b/>
          <w:color w:val="000000"/>
        </w:rPr>
        <w:t xml:space="preserve"> </w:t>
      </w:r>
    </w:p>
    <w:p w14:paraId="00000002" w14:textId="376D3335" w:rsidR="00130241" w:rsidRDefault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Рассада П.Л</w:t>
      </w:r>
      <w:r w:rsidR="00EE06E3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Ашарчук</w:t>
      </w:r>
      <w:proofErr w:type="spellEnd"/>
      <w:r>
        <w:rPr>
          <w:b/>
          <w:i/>
          <w:color w:val="000000"/>
        </w:rPr>
        <w:t xml:space="preserve"> А.А</w:t>
      </w:r>
      <w:r w:rsidR="00EE06E3">
        <w:rPr>
          <w:b/>
          <w:i/>
          <w:color w:val="000000"/>
        </w:rPr>
        <w:t xml:space="preserve">., Бабкин </w:t>
      </w:r>
      <w:proofErr w:type="spellStart"/>
      <w:proofErr w:type="gramStart"/>
      <w:r w:rsidR="00EE06E3">
        <w:rPr>
          <w:b/>
          <w:i/>
          <w:color w:val="000000"/>
        </w:rPr>
        <w:t>А.В.,Сергеев</w:t>
      </w:r>
      <w:proofErr w:type="spellEnd"/>
      <w:proofErr w:type="gramEnd"/>
      <w:r w:rsidR="00EE06E3">
        <w:rPr>
          <w:b/>
          <w:i/>
          <w:color w:val="000000"/>
        </w:rPr>
        <w:t xml:space="preserve"> В.Г.</w:t>
      </w:r>
    </w:p>
    <w:p w14:paraId="00000003" w14:textId="4EB2F5F1" w:rsidR="00130241" w:rsidRDefault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14:paraId="00000007" w14:textId="0DE2787D" w:rsidR="00130241" w:rsidRPr="000E334E" w:rsidRDefault="00EB1F49" w:rsidP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6F3861D8" w:rsidR="00CD00B1" w:rsidRPr="00EE06E3" w:rsidRDefault="00EB1F49" w:rsidP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432208">
        <w:rPr>
          <w:i/>
          <w:color w:val="000000"/>
          <w:u w:val="single"/>
          <w:lang w:val="en-AU"/>
        </w:rPr>
        <w:t>prassada</w:t>
      </w:r>
      <w:proofErr w:type="spellEnd"/>
      <w:r w:rsidR="00432208" w:rsidRPr="00432208">
        <w:rPr>
          <w:i/>
          <w:color w:val="000000"/>
          <w:u w:val="single"/>
        </w:rPr>
        <w:t>@</w:t>
      </w:r>
      <w:proofErr w:type="spellStart"/>
      <w:r w:rsidR="00432208">
        <w:rPr>
          <w:i/>
          <w:color w:val="000000"/>
          <w:u w:val="single"/>
          <w:lang w:val="en-AU"/>
        </w:rPr>
        <w:t>bk</w:t>
      </w:r>
      <w:proofErr w:type="spellEnd"/>
      <w:r w:rsidR="00432208" w:rsidRPr="00432208">
        <w:rPr>
          <w:i/>
          <w:color w:val="000000"/>
          <w:u w:val="single"/>
        </w:rPr>
        <w:t>.</w:t>
      </w:r>
      <w:proofErr w:type="spellStart"/>
      <w:r w:rsidR="00432208">
        <w:rPr>
          <w:i/>
          <w:color w:val="000000"/>
          <w:u w:val="single"/>
          <w:lang w:val="en-AU"/>
        </w:rPr>
        <w:t>ru</w:t>
      </w:r>
      <w:proofErr w:type="spellEnd"/>
      <w:r>
        <w:rPr>
          <w:i/>
          <w:color w:val="000000"/>
        </w:rPr>
        <w:t xml:space="preserve"> </w:t>
      </w:r>
    </w:p>
    <w:p w14:paraId="201D2F79" w14:textId="77777777" w:rsidR="00432208" w:rsidRPr="00432208" w:rsidRDefault="00432208" w:rsidP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2208">
        <w:rPr>
          <w:color w:val="000000"/>
        </w:rPr>
        <w:t>Разработка энергоёмких аккумуляторов с высокой эффективностью и долговечностью является одной из ключевых задач современного энергетического сектора. Отказ от токосъёмников в конструкции катодов открывает новые перспективы для увеличения их емкости. Возможность создания толстых свободностоящих катодов в энергоёмких аккумуляторах позволяет оптимизировать процесс хранения энергии, что является важным для достижения высоких показателей производительности. Данный подход не только упрощает конструкцию аккумуляторов, но и способствует улучшению их электрохимических характеристик, что в свою очередь может привести к значительному повышению общей эффективности устройств.</w:t>
      </w:r>
    </w:p>
    <w:p w14:paraId="1AB30043" w14:textId="04E19A7A" w:rsidR="00432208" w:rsidRPr="00432208" w:rsidRDefault="00432208" w:rsidP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2208">
        <w:rPr>
          <w:color w:val="000000"/>
        </w:rPr>
        <w:t>В данной работе были изготовлены катоды для литий-ионных аккумуляторов на основе LiFePO</w:t>
      </w:r>
      <w:r w:rsidRPr="00432208">
        <w:rPr>
          <w:color w:val="000000"/>
          <w:vertAlign w:val="subscript"/>
        </w:rPr>
        <w:t>4</w:t>
      </w:r>
      <w:r w:rsidRPr="00432208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  <w:lang w:val="en-AU"/>
        </w:rPr>
        <w:t>LFP</w:t>
      </w:r>
      <w:r w:rsidRPr="00432208">
        <w:rPr>
          <w:color w:val="000000"/>
        </w:rPr>
        <w:t xml:space="preserve">), в качестве проводящего компонента использовали </w:t>
      </w:r>
      <w:proofErr w:type="spellStart"/>
      <w:r w:rsidRPr="00432208">
        <w:rPr>
          <w:color w:val="000000"/>
        </w:rPr>
        <w:t>одностенные</w:t>
      </w:r>
      <w:proofErr w:type="spellEnd"/>
      <w:r w:rsidRPr="00432208">
        <w:rPr>
          <w:color w:val="000000"/>
        </w:rPr>
        <w:t xml:space="preserve"> углеродные </w:t>
      </w:r>
      <w:proofErr w:type="spellStart"/>
      <w:r w:rsidRPr="00432208">
        <w:rPr>
          <w:color w:val="000000"/>
        </w:rPr>
        <w:t>нанотрубки</w:t>
      </w:r>
      <w:proofErr w:type="spellEnd"/>
      <w:r w:rsidRPr="00432208">
        <w:rPr>
          <w:color w:val="000000"/>
        </w:rPr>
        <w:t xml:space="preserve"> (ОУНТ) и двустенные углеродные </w:t>
      </w:r>
      <w:proofErr w:type="spellStart"/>
      <w:r w:rsidRPr="00432208">
        <w:rPr>
          <w:color w:val="000000"/>
        </w:rPr>
        <w:t>нанонтрубки</w:t>
      </w:r>
      <w:proofErr w:type="spellEnd"/>
      <w:r w:rsidRPr="00432208">
        <w:rPr>
          <w:color w:val="000000"/>
        </w:rPr>
        <w:t xml:space="preserve"> (ДУНТ), в качестве вещества стабилизирующего водную дисперсию углеродных </w:t>
      </w:r>
      <w:proofErr w:type="spellStart"/>
      <w:r w:rsidRPr="00432208">
        <w:rPr>
          <w:color w:val="000000"/>
        </w:rPr>
        <w:t>нанотрубок</w:t>
      </w:r>
      <w:proofErr w:type="spellEnd"/>
      <w:r w:rsidRPr="00432208">
        <w:rPr>
          <w:color w:val="000000"/>
        </w:rPr>
        <w:t xml:space="preserve"> использовалась </w:t>
      </w:r>
      <w:proofErr w:type="spellStart"/>
      <w:r w:rsidRPr="00432208">
        <w:rPr>
          <w:color w:val="000000"/>
        </w:rPr>
        <w:t>карбоксиметилцеллюлоза</w:t>
      </w:r>
      <w:proofErr w:type="spellEnd"/>
      <w:r w:rsidRPr="00432208">
        <w:rPr>
          <w:color w:val="000000"/>
        </w:rPr>
        <w:t xml:space="preserve"> (КМЦ). Электроды получали, удаляя растворитель из катодной суспензии при помощи вакуумной фильтрации. При этом массовое отношение L</w:t>
      </w:r>
      <w:r w:rsidR="00EE06E3">
        <w:rPr>
          <w:color w:val="000000"/>
        </w:rPr>
        <w:t xml:space="preserve">FP к углеродным </w:t>
      </w:r>
      <w:proofErr w:type="spellStart"/>
      <w:r w:rsidR="00EE06E3">
        <w:rPr>
          <w:color w:val="000000"/>
        </w:rPr>
        <w:t>нанотрубкам</w:t>
      </w:r>
      <w:proofErr w:type="spellEnd"/>
      <w:r w:rsidR="00EE06E3">
        <w:rPr>
          <w:color w:val="000000"/>
        </w:rPr>
        <w:t xml:space="preserve"> составляло</w:t>
      </w:r>
      <w:r w:rsidRPr="00432208">
        <w:rPr>
          <w:color w:val="000000"/>
        </w:rPr>
        <w:t xml:space="preserve"> 9</w:t>
      </w:r>
      <w:r w:rsidR="00EE06E3">
        <w:rPr>
          <w:color w:val="000000"/>
        </w:rPr>
        <w:t>9:1. В рамках работы</w:t>
      </w:r>
      <w:r w:rsidRPr="00432208">
        <w:rPr>
          <w:color w:val="000000"/>
        </w:rPr>
        <w:t xml:space="preserve"> варьировали концентрацию стабилизатора КМЦ от 0 до 2 мг/мл при диспергировании ОУНТ и Д</w:t>
      </w:r>
      <w:r w:rsidR="00EE06E3">
        <w:rPr>
          <w:color w:val="000000"/>
        </w:rPr>
        <w:t xml:space="preserve">УНТ. </w:t>
      </w:r>
    </w:p>
    <w:p w14:paraId="3A1A6B91" w14:textId="02E5C637" w:rsidR="00432208" w:rsidRPr="00432208" w:rsidRDefault="00432208" w:rsidP="0043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2208">
        <w:rPr>
          <w:color w:val="000000"/>
        </w:rPr>
        <w:t xml:space="preserve">С полученными композитными катодами были собраны полу-ячейки, с целью проведения гальваностатического </w:t>
      </w:r>
      <w:proofErr w:type="spellStart"/>
      <w:r w:rsidRPr="00432208">
        <w:rPr>
          <w:color w:val="000000"/>
        </w:rPr>
        <w:t>циклирования</w:t>
      </w:r>
      <w:proofErr w:type="spellEnd"/>
      <w:r w:rsidRPr="00432208">
        <w:rPr>
          <w:color w:val="000000"/>
        </w:rPr>
        <w:t xml:space="preserve"> при разных плотностях</w:t>
      </w:r>
      <w:r w:rsidR="00EE06E3">
        <w:rPr>
          <w:color w:val="000000"/>
        </w:rPr>
        <w:t xml:space="preserve"> тока. Композиционные материалы </w:t>
      </w:r>
      <w:r w:rsidR="00EE06E3">
        <w:rPr>
          <w:color w:val="000000"/>
          <w:lang w:val="en-AU"/>
        </w:rPr>
        <w:t>LFP</w:t>
      </w:r>
      <w:r w:rsidR="00EE06E3" w:rsidRPr="00EE06E3">
        <w:rPr>
          <w:color w:val="000000"/>
        </w:rPr>
        <w:t>/</w:t>
      </w:r>
      <w:r w:rsidR="00EE06E3">
        <w:rPr>
          <w:color w:val="000000"/>
        </w:rPr>
        <w:t>ОУНТ,</w:t>
      </w:r>
      <w:r w:rsidRPr="00432208">
        <w:rPr>
          <w:color w:val="000000"/>
        </w:rPr>
        <w:t xml:space="preserve"> полученные из водной среды без добавления КМЦ, демонстрировали низкую удельную емкость около 120 мА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ч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г</w:t>
      </w:r>
      <w:r w:rsidRPr="00432208">
        <w:rPr>
          <w:color w:val="000000"/>
          <w:vertAlign w:val="superscript"/>
        </w:rPr>
        <w:t>-1</w:t>
      </w:r>
      <w:r w:rsidRPr="00432208">
        <w:rPr>
          <w:color w:val="000000"/>
        </w:rPr>
        <w:t xml:space="preserve"> (при теоретической 170 мА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ч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г</w:t>
      </w:r>
      <w:r w:rsidRPr="00432208">
        <w:rPr>
          <w:color w:val="000000"/>
          <w:vertAlign w:val="superscript"/>
        </w:rPr>
        <w:t>-1</w:t>
      </w:r>
      <w:r w:rsidRPr="00432208">
        <w:rPr>
          <w:color w:val="000000"/>
        </w:rPr>
        <w:t>) при низких пл</w:t>
      </w:r>
      <w:r w:rsidR="00883F24">
        <w:rPr>
          <w:color w:val="000000"/>
        </w:rPr>
        <w:t>отностях тока заряда/разряда (0,</w:t>
      </w:r>
      <w:r w:rsidRPr="00432208">
        <w:rPr>
          <w:color w:val="000000"/>
        </w:rPr>
        <w:t>1С), что может быт</w:t>
      </w:r>
      <w:r w:rsidR="00883F24">
        <w:rPr>
          <w:color w:val="000000"/>
        </w:rPr>
        <w:t>ь вызвано низкой степенью диспергирования ОУНТ</w:t>
      </w:r>
      <w:bookmarkStart w:id="0" w:name="_GoBack"/>
      <w:bookmarkEnd w:id="0"/>
      <w:r w:rsidRPr="00432208">
        <w:rPr>
          <w:color w:val="000000"/>
        </w:rPr>
        <w:t xml:space="preserve">. Катоды, полученные с добавлением </w:t>
      </w:r>
      <w:r w:rsidR="00EE06E3">
        <w:rPr>
          <w:color w:val="000000"/>
        </w:rPr>
        <w:t>КМЦ, в прочих равных условиях,</w:t>
      </w:r>
      <w:r w:rsidRPr="00432208">
        <w:rPr>
          <w:color w:val="000000"/>
        </w:rPr>
        <w:t xml:space="preserve"> демонстрировали емкость 160 мА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ч</w:t>
      </w:r>
      <w:r w:rsidRPr="00432208">
        <w:rPr>
          <w:rFonts w:ascii="Cambria Math" w:hAnsi="Cambria Math" w:cs="Cambria Math"/>
          <w:color w:val="000000"/>
        </w:rPr>
        <w:t>⋅</w:t>
      </w:r>
      <w:r w:rsidRPr="00432208">
        <w:rPr>
          <w:color w:val="000000"/>
        </w:rPr>
        <w:t>г</w:t>
      </w:r>
      <w:r w:rsidRPr="00432208">
        <w:rPr>
          <w:color w:val="000000"/>
          <w:vertAlign w:val="superscript"/>
        </w:rPr>
        <w:t>-1</w:t>
      </w:r>
      <w:r w:rsidR="00EE06E3">
        <w:rPr>
          <w:color w:val="000000"/>
        </w:rPr>
        <w:t>, что близко к теоретической. Таким образом, в рамках работы показана доступная методика получения свободностоящих электродов на основе водной дисперсии ОУНТ, стабилизированных КМЦ.</w:t>
      </w:r>
    </w:p>
    <w:p w14:paraId="0000000E" w14:textId="77777777" w:rsidR="00130241" w:rsidRPr="00EE06E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346C6F62" w:rsidR="00116478" w:rsidRPr="00107AA3" w:rsidRDefault="0043220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E06E3">
        <w:rPr>
          <w:color w:val="000000"/>
        </w:rPr>
        <w:t xml:space="preserve">1. </w:t>
      </w:r>
      <w:proofErr w:type="spellStart"/>
      <w:r w:rsidRPr="00432208">
        <w:rPr>
          <w:color w:val="000000"/>
          <w:lang w:val="en-US"/>
        </w:rPr>
        <w:t>Guo</w:t>
      </w:r>
      <w:proofErr w:type="spellEnd"/>
      <w:r w:rsidRPr="00EE06E3">
        <w:rPr>
          <w:color w:val="000000"/>
        </w:rPr>
        <w:t xml:space="preserve"> </w:t>
      </w:r>
      <w:r w:rsidRPr="00432208">
        <w:rPr>
          <w:color w:val="000000"/>
          <w:lang w:val="en-US"/>
        </w:rPr>
        <w:t>M</w:t>
      </w:r>
      <w:r w:rsidRPr="00EE06E3">
        <w:rPr>
          <w:color w:val="000000"/>
        </w:rPr>
        <w:t xml:space="preserve">. </w:t>
      </w:r>
      <w:r w:rsidRPr="00432208">
        <w:rPr>
          <w:color w:val="000000"/>
          <w:lang w:val="en-US"/>
        </w:rPr>
        <w:t>et</w:t>
      </w:r>
      <w:r w:rsidRPr="00EE06E3">
        <w:rPr>
          <w:color w:val="000000"/>
        </w:rPr>
        <w:t xml:space="preserve"> </w:t>
      </w:r>
      <w:r w:rsidRPr="00432208">
        <w:rPr>
          <w:color w:val="000000"/>
          <w:lang w:val="en-US"/>
        </w:rPr>
        <w:t>al</w:t>
      </w:r>
      <w:r w:rsidRPr="00EE06E3">
        <w:rPr>
          <w:color w:val="000000"/>
        </w:rPr>
        <w:t xml:space="preserve">. </w:t>
      </w:r>
      <w:r w:rsidRPr="00432208">
        <w:rPr>
          <w:color w:val="000000"/>
          <w:lang w:val="en-US"/>
        </w:rPr>
        <w:t>Preparation of tough, binder‐free, and self‐supporting LiFePO4 cathode by using mono‐dispersed ultra‐long single‐walled carbon nanotubes for high‐rate performance Li‐ion battery //Advanced Science.  2023. Vol. 10 №. 13. P. 2207355.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2208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3F2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06E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73793-9900-4730-BCF3-A13EBA2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Рассада</dc:creator>
  <cp:lastModifiedBy>Полина Рассада</cp:lastModifiedBy>
  <cp:revision>2</cp:revision>
  <dcterms:created xsi:type="dcterms:W3CDTF">2025-03-02T17:32:00Z</dcterms:created>
  <dcterms:modified xsi:type="dcterms:W3CDTF">2025-03-02T17:32:00Z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