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B1F54" w14:textId="77777777" w:rsidR="00366337" w:rsidRDefault="003663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6D17B4F3" w14:textId="35BD9BE6" w:rsidR="00A61B7F" w:rsidRDefault="003663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Разложение </w:t>
      </w:r>
      <w:proofErr w:type="spellStart"/>
      <w:r w:rsidR="00D90F3E" w:rsidRPr="00A61B7F">
        <w:rPr>
          <w:b/>
          <w:color w:val="000000"/>
        </w:rPr>
        <w:t>доксициклина</w:t>
      </w:r>
      <w:proofErr w:type="spellEnd"/>
      <w:r w:rsidR="00D90F3E" w:rsidRPr="00A61B7F">
        <w:rPr>
          <w:b/>
          <w:color w:val="000000"/>
        </w:rPr>
        <w:t xml:space="preserve"> </w:t>
      </w:r>
      <w:r w:rsidR="00A61B7F" w:rsidRPr="00A61B7F">
        <w:rPr>
          <w:b/>
          <w:color w:val="000000"/>
        </w:rPr>
        <w:t>под действием окислителей и У</w:t>
      </w:r>
      <w:proofErr w:type="gramStart"/>
      <w:r w:rsidR="00A61B7F" w:rsidRPr="00A61B7F">
        <w:rPr>
          <w:b/>
          <w:color w:val="000000"/>
        </w:rPr>
        <w:t>Ф-</w:t>
      </w:r>
      <w:proofErr w:type="gramEnd"/>
      <w:r w:rsidR="00A61B7F" w:rsidRPr="00A61B7F">
        <w:rPr>
          <w:b/>
          <w:color w:val="000000"/>
        </w:rPr>
        <w:t xml:space="preserve"> разложение в присутствии  </w:t>
      </w:r>
      <w:proofErr w:type="spellStart"/>
      <w:r w:rsidR="00D90F3E">
        <w:rPr>
          <w:b/>
          <w:color w:val="000000"/>
        </w:rPr>
        <w:t>неонола</w:t>
      </w:r>
      <w:proofErr w:type="spellEnd"/>
      <w:r w:rsidR="00D90F3E">
        <w:rPr>
          <w:b/>
          <w:color w:val="000000"/>
        </w:rPr>
        <w:t xml:space="preserve"> 9-6  </w:t>
      </w:r>
      <w:r w:rsidR="00805FE8">
        <w:rPr>
          <w:b/>
          <w:color w:val="000000"/>
        </w:rPr>
        <w:t>и перекиси водорода</w:t>
      </w:r>
    </w:p>
    <w:p w14:paraId="00000002" w14:textId="2E995C07" w:rsidR="00130241" w:rsidRDefault="00A61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Короленко М.В.</w:t>
      </w:r>
    </w:p>
    <w:p w14:paraId="00000003" w14:textId="4C4BDA76" w:rsidR="00130241" w:rsidRDefault="00A61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 2 года обучения </w:t>
      </w:r>
    </w:p>
    <w:p w14:paraId="4CCC0108" w14:textId="77777777" w:rsidR="00A61B7F" w:rsidRPr="00A61B7F" w:rsidRDefault="00A61B7F" w:rsidP="00A61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61B7F">
        <w:rPr>
          <w:i/>
          <w:color w:val="000000"/>
        </w:rPr>
        <w:t xml:space="preserve">Белгородский государственный национальный исследовательский университет, </w:t>
      </w:r>
    </w:p>
    <w:p w14:paraId="495066AC" w14:textId="77777777" w:rsidR="00A61B7F" w:rsidRPr="00A61B7F" w:rsidRDefault="00A61B7F" w:rsidP="00A61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61B7F">
        <w:rPr>
          <w:i/>
          <w:color w:val="000000"/>
        </w:rPr>
        <w:t>институт фармации химии и биологии, Белгород, Россия</w:t>
      </w:r>
    </w:p>
    <w:p w14:paraId="1ADA4293" w14:textId="2CEF12A1" w:rsidR="00CD00B1" w:rsidRPr="00366337" w:rsidRDefault="00A61B7F" w:rsidP="003663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66337">
        <w:rPr>
          <w:i/>
          <w:color w:val="000000"/>
          <w:lang w:val="de-DE"/>
        </w:rPr>
        <w:t>E</w:t>
      </w:r>
      <w:r w:rsidRPr="00D90F3E">
        <w:rPr>
          <w:i/>
          <w:color w:val="000000"/>
        </w:rPr>
        <w:t>-</w:t>
      </w:r>
      <w:r w:rsidRPr="00366337">
        <w:rPr>
          <w:i/>
          <w:color w:val="000000"/>
          <w:lang w:val="de-DE"/>
        </w:rPr>
        <w:t>mail</w:t>
      </w:r>
      <w:r w:rsidRPr="00D90F3E">
        <w:rPr>
          <w:i/>
          <w:color w:val="000000"/>
        </w:rPr>
        <w:t xml:space="preserve">: </w:t>
      </w:r>
      <w:proofErr w:type="spellStart"/>
      <w:r w:rsidRPr="00366337">
        <w:rPr>
          <w:i/>
          <w:color w:val="000000"/>
          <w:lang w:val="de-DE"/>
        </w:rPr>
        <w:t>marina</w:t>
      </w:r>
      <w:proofErr w:type="spellEnd"/>
      <w:r w:rsidRPr="00D90F3E">
        <w:rPr>
          <w:i/>
          <w:color w:val="000000"/>
        </w:rPr>
        <w:t>8</w:t>
      </w:r>
      <w:proofErr w:type="spellStart"/>
      <w:r w:rsidRPr="00366337">
        <w:rPr>
          <w:i/>
          <w:color w:val="000000"/>
          <w:lang w:val="de-DE"/>
        </w:rPr>
        <w:t>wiktorowna</w:t>
      </w:r>
      <w:proofErr w:type="spellEnd"/>
      <w:r w:rsidRPr="00D90F3E">
        <w:rPr>
          <w:i/>
          <w:color w:val="000000"/>
        </w:rPr>
        <w:t>@</w:t>
      </w:r>
      <w:proofErr w:type="spellStart"/>
      <w:r w:rsidRPr="00366337">
        <w:rPr>
          <w:i/>
          <w:color w:val="000000"/>
          <w:lang w:val="de-DE"/>
        </w:rPr>
        <w:t>gmail</w:t>
      </w:r>
      <w:proofErr w:type="spellEnd"/>
      <w:r w:rsidRPr="00D90F3E">
        <w:rPr>
          <w:i/>
          <w:color w:val="000000"/>
        </w:rPr>
        <w:t>.</w:t>
      </w:r>
      <w:proofErr w:type="spellStart"/>
      <w:r w:rsidRPr="00366337">
        <w:rPr>
          <w:i/>
          <w:color w:val="000000"/>
          <w:lang w:val="de-DE"/>
        </w:rPr>
        <w:t>com</w:t>
      </w:r>
      <w:proofErr w:type="spellEnd"/>
    </w:p>
    <w:p w14:paraId="4C8AD000" w14:textId="045A6D5D" w:rsidR="00AA2DA5" w:rsidRDefault="00A61B7F" w:rsidP="00AA2D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A61B7F">
        <w:rPr>
          <w:color w:val="000000"/>
        </w:rPr>
        <w:t>Неонолы</w:t>
      </w:r>
      <w:proofErr w:type="spellEnd"/>
      <w:r w:rsidRPr="00A61B7F">
        <w:rPr>
          <w:color w:val="000000"/>
        </w:rPr>
        <w:t xml:space="preserve"> — это поверхностно-активные вещества (ПАВ), широко используемые в различных отраслях промышленности благодаря свои</w:t>
      </w:r>
      <w:r w:rsidR="00AB5A9C">
        <w:rPr>
          <w:color w:val="000000"/>
        </w:rPr>
        <w:t xml:space="preserve">м уникальным свойствам. </w:t>
      </w:r>
      <w:proofErr w:type="spellStart"/>
      <w:r w:rsidR="00AB5A9C">
        <w:rPr>
          <w:color w:val="000000"/>
        </w:rPr>
        <w:t>Неонол</w:t>
      </w:r>
      <w:proofErr w:type="spellEnd"/>
      <w:r w:rsidR="00AB5A9C">
        <w:rPr>
          <w:color w:val="000000"/>
        </w:rPr>
        <w:t xml:space="preserve"> 9-6 </w:t>
      </w:r>
      <w:r w:rsidRPr="00A61B7F">
        <w:rPr>
          <w:color w:val="000000"/>
        </w:rPr>
        <w:t xml:space="preserve">представляет собой смесь </w:t>
      </w:r>
      <w:proofErr w:type="spellStart"/>
      <w:r w:rsidRPr="00A61B7F">
        <w:rPr>
          <w:color w:val="000000"/>
        </w:rPr>
        <w:t>алкилфенолов</w:t>
      </w:r>
      <w:proofErr w:type="spellEnd"/>
      <w:r w:rsidRPr="00A61B7F">
        <w:rPr>
          <w:color w:val="000000"/>
        </w:rPr>
        <w:t xml:space="preserve"> и </w:t>
      </w:r>
      <w:proofErr w:type="spellStart"/>
      <w:r w:rsidRPr="00A61B7F">
        <w:rPr>
          <w:color w:val="000000"/>
        </w:rPr>
        <w:t>этоксилированных</w:t>
      </w:r>
      <w:proofErr w:type="spellEnd"/>
      <w:r w:rsidRPr="00A61B7F">
        <w:rPr>
          <w:color w:val="000000"/>
        </w:rPr>
        <w:t xml:space="preserve"> спиртов, обладающих высокой устойчивостью к биологическому и химическому разложению. Однако воздействие агрессивных факторов окружающей среды, таких как окислители и ультрафиолетовое излучение, может привести к деградации этих соединений. </w:t>
      </w:r>
    </w:p>
    <w:p w14:paraId="7AB71EBF" w14:textId="281B86B6" w:rsidR="00A61B7F" w:rsidRPr="00A61B7F" w:rsidRDefault="00A61B7F" w:rsidP="00AA2D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1B7F">
        <w:rPr>
          <w:color w:val="000000"/>
        </w:rPr>
        <w:t>Настоящее исследование направлено на изучение процессов разложения неонола 6-9 под влиянием окислительных агентов и ультрафиолетового излучения, а также на количественн</w:t>
      </w:r>
      <w:r w:rsidR="00F83992">
        <w:rPr>
          <w:color w:val="000000"/>
        </w:rPr>
        <w:t>ое определение</w:t>
      </w:r>
      <w:r w:rsidRPr="00A61B7F">
        <w:rPr>
          <w:color w:val="000000"/>
        </w:rPr>
        <w:t xml:space="preserve"> остаточного содержания </w:t>
      </w:r>
      <w:proofErr w:type="spellStart"/>
      <w:r w:rsidRPr="00A61B7F">
        <w:rPr>
          <w:color w:val="000000"/>
        </w:rPr>
        <w:t>доксициклина</w:t>
      </w:r>
      <w:proofErr w:type="spellEnd"/>
      <w:r w:rsidRPr="00A61B7F">
        <w:rPr>
          <w:color w:val="000000"/>
        </w:rPr>
        <w:t xml:space="preserve"> в водных растворах после </w:t>
      </w:r>
      <w:proofErr w:type="gramStart"/>
      <w:r w:rsidRPr="00A61B7F">
        <w:rPr>
          <w:color w:val="000000"/>
        </w:rPr>
        <w:t>УФ-облучения</w:t>
      </w:r>
      <w:proofErr w:type="gramEnd"/>
      <w:r w:rsidRPr="00A61B7F">
        <w:rPr>
          <w:color w:val="000000"/>
        </w:rPr>
        <w:t xml:space="preserve"> с помощью спектрофотомерии.</w:t>
      </w:r>
    </w:p>
    <w:p w14:paraId="5E237B79" w14:textId="45A8900C" w:rsidR="00A61B7F" w:rsidRPr="00A61B7F" w:rsidRDefault="00A61B7F" w:rsidP="00A61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1B7F">
        <w:rPr>
          <w:color w:val="000000"/>
        </w:rPr>
        <w:t>Для изучения влияния окислителей к растворам добавлял</w:t>
      </w:r>
      <w:bookmarkStart w:id="0" w:name="_GoBack"/>
      <w:bookmarkEnd w:id="0"/>
      <w:r w:rsidRPr="00A61B7F">
        <w:rPr>
          <w:color w:val="000000"/>
        </w:rPr>
        <w:t>и пероксид водорода в различных к</w:t>
      </w:r>
      <w:r>
        <w:rPr>
          <w:color w:val="000000"/>
        </w:rPr>
        <w:t xml:space="preserve">онцентрациях (0,25мМ ,05мМ,1мМ, </w:t>
      </w:r>
      <w:r w:rsidRPr="00A61B7F">
        <w:rPr>
          <w:color w:val="000000"/>
        </w:rPr>
        <w:t xml:space="preserve">2 </w:t>
      </w:r>
      <w:proofErr w:type="spellStart"/>
      <w:r w:rsidRPr="00A61B7F">
        <w:rPr>
          <w:color w:val="000000"/>
        </w:rPr>
        <w:t>мМ</w:t>
      </w:r>
      <w:proofErr w:type="spellEnd"/>
      <w:r w:rsidRPr="00A61B7F">
        <w:rPr>
          <w:color w:val="000000"/>
        </w:rPr>
        <w:t>). Ультрафиолетовое облучение ос</w:t>
      </w:r>
      <w:r>
        <w:rPr>
          <w:color w:val="000000"/>
        </w:rPr>
        <w:t xml:space="preserve">уществлялось с помощь </w:t>
      </w:r>
      <w:proofErr w:type="gramStart"/>
      <w:r>
        <w:rPr>
          <w:color w:val="000000"/>
        </w:rPr>
        <w:t>УФ-камеры</w:t>
      </w:r>
      <w:proofErr w:type="gramEnd"/>
      <w:r w:rsidRPr="00A61B7F">
        <w:rPr>
          <w:color w:val="000000"/>
        </w:rPr>
        <w:t xml:space="preserve">. Продолжительность облучения 1 час, промежутками по пять минут. Количественное определение остаточного содержания </w:t>
      </w:r>
      <w:proofErr w:type="spellStart"/>
      <w:r w:rsidRPr="00A61B7F">
        <w:rPr>
          <w:color w:val="000000"/>
        </w:rPr>
        <w:t>доксициклина</w:t>
      </w:r>
      <w:proofErr w:type="spellEnd"/>
      <w:r w:rsidRPr="00A61B7F">
        <w:rPr>
          <w:color w:val="000000"/>
        </w:rPr>
        <w:t xml:space="preserve"> проводилось методом </w:t>
      </w:r>
      <w:proofErr w:type="spellStart"/>
      <w:r w:rsidRPr="00A61B7F">
        <w:rPr>
          <w:color w:val="000000"/>
        </w:rPr>
        <w:t>спектрофотометрии</w:t>
      </w:r>
      <w:proofErr w:type="spellEnd"/>
      <w:r w:rsidRPr="00A61B7F">
        <w:rPr>
          <w:color w:val="000000"/>
        </w:rPr>
        <w:t>. Для этого использовали</w:t>
      </w:r>
      <w:r>
        <w:rPr>
          <w:color w:val="000000"/>
        </w:rPr>
        <w:t xml:space="preserve"> спектрофотометр  (</w:t>
      </w:r>
      <w:proofErr w:type="spellStart"/>
      <w:r>
        <w:rPr>
          <w:color w:val="000000"/>
        </w:rPr>
        <w:t>Specord</w:t>
      </w:r>
      <w:proofErr w:type="spellEnd"/>
      <w:r>
        <w:rPr>
          <w:color w:val="000000"/>
        </w:rPr>
        <w:t xml:space="preserve"> 50)</w:t>
      </w:r>
      <w:r w:rsidRPr="00A61B7F">
        <w:rPr>
          <w:color w:val="000000"/>
        </w:rPr>
        <w:t xml:space="preserve">. Измерения оптической плотности проводили при длине волны 271 </w:t>
      </w:r>
      <w:proofErr w:type="spellStart"/>
      <w:r w:rsidRPr="00A61B7F">
        <w:rPr>
          <w:color w:val="000000"/>
        </w:rPr>
        <w:t>нм</w:t>
      </w:r>
      <w:proofErr w:type="spellEnd"/>
      <w:r w:rsidRPr="00A61B7F">
        <w:rPr>
          <w:color w:val="000000"/>
        </w:rPr>
        <w:t xml:space="preserve">, соответствующей максимуму поглощения </w:t>
      </w:r>
      <w:proofErr w:type="spellStart"/>
      <w:r w:rsidRPr="00A61B7F">
        <w:rPr>
          <w:color w:val="000000"/>
        </w:rPr>
        <w:t>доксициклина</w:t>
      </w:r>
      <w:proofErr w:type="spellEnd"/>
      <w:r w:rsidRPr="00A61B7F">
        <w:rPr>
          <w:color w:val="000000"/>
        </w:rPr>
        <w:t xml:space="preserve">. Концентрация </w:t>
      </w:r>
      <w:proofErr w:type="spellStart"/>
      <w:r w:rsidRPr="00A61B7F">
        <w:rPr>
          <w:color w:val="000000"/>
        </w:rPr>
        <w:t>неонола</w:t>
      </w:r>
      <w:proofErr w:type="spellEnd"/>
      <w:r w:rsidRPr="00A61B7F">
        <w:rPr>
          <w:color w:val="000000"/>
        </w:rPr>
        <w:t xml:space="preserve"> 6-9 измерялась методом отрыва кольца</w:t>
      </w:r>
      <w:r>
        <w:rPr>
          <w:color w:val="000000"/>
        </w:rPr>
        <w:t xml:space="preserve"> </w:t>
      </w:r>
      <w:r w:rsidRPr="00A61B7F">
        <w:rPr>
          <w:color w:val="000000"/>
        </w:rPr>
        <w:t>(KRUSS 13139).</w:t>
      </w:r>
    </w:p>
    <w:p w14:paraId="1244B4FD" w14:textId="77777777" w:rsidR="00A61B7F" w:rsidRPr="00A61B7F" w:rsidRDefault="00A61B7F" w:rsidP="00A61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1B7F">
        <w:rPr>
          <w:color w:val="000000"/>
        </w:rPr>
        <w:t xml:space="preserve">Под воздействием ультрафиолетового излучения </w:t>
      </w:r>
      <w:proofErr w:type="spellStart"/>
      <w:r w:rsidRPr="00A61B7F">
        <w:rPr>
          <w:color w:val="000000"/>
        </w:rPr>
        <w:t>доксициклин</w:t>
      </w:r>
      <w:proofErr w:type="spellEnd"/>
      <w:r w:rsidRPr="00A61B7F">
        <w:rPr>
          <w:color w:val="000000"/>
        </w:rPr>
        <w:t xml:space="preserve"> подвергается </w:t>
      </w:r>
      <w:proofErr w:type="spellStart"/>
      <w:r w:rsidRPr="00A61B7F">
        <w:rPr>
          <w:color w:val="000000"/>
        </w:rPr>
        <w:t>фотодеградации</w:t>
      </w:r>
      <w:proofErr w:type="spellEnd"/>
      <w:r w:rsidRPr="00A61B7F">
        <w:rPr>
          <w:color w:val="000000"/>
        </w:rPr>
        <w:t xml:space="preserve">, приводящей к образованию продуктов распада, не обладающих антибактериальной активностью. Исследования показали, что скорость разложения </w:t>
      </w:r>
      <w:proofErr w:type="spellStart"/>
      <w:r w:rsidRPr="00A61B7F">
        <w:rPr>
          <w:color w:val="000000"/>
        </w:rPr>
        <w:t>доксициклина</w:t>
      </w:r>
      <w:proofErr w:type="spellEnd"/>
      <w:r w:rsidRPr="00A61B7F">
        <w:rPr>
          <w:color w:val="000000"/>
        </w:rPr>
        <w:t xml:space="preserve"> увеличивается пропорционально длительности облучения. </w:t>
      </w:r>
    </w:p>
    <w:p w14:paraId="3EC87B87" w14:textId="77777777" w:rsidR="001939A6" w:rsidRDefault="00A61B7F" w:rsidP="001939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1B7F">
        <w:rPr>
          <w:color w:val="000000"/>
        </w:rPr>
        <w:t xml:space="preserve">Результаты исследования представлены в таблице </w:t>
      </w:r>
    </w:p>
    <w:p w14:paraId="044BBAED" w14:textId="3C536F0B" w:rsidR="00E22189" w:rsidRPr="001939A6" w:rsidRDefault="00E22189" w:rsidP="001939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49B6">
        <w:t xml:space="preserve">Таблица 1. </w:t>
      </w:r>
      <w:r w:rsidR="00D90F3E">
        <w:t xml:space="preserve">Зависимость </w:t>
      </w:r>
      <w:r w:rsidR="00A362C1">
        <w:t xml:space="preserve">изменения концентрации </w:t>
      </w:r>
      <w:proofErr w:type="spellStart"/>
      <w:r w:rsidR="00A362C1">
        <w:t>докси</w:t>
      </w:r>
      <w:r w:rsidR="00A362C1" w:rsidRPr="00A362C1">
        <w:t>ц</w:t>
      </w:r>
      <w:r w:rsidR="00A362C1">
        <w:t>иклина</w:t>
      </w:r>
      <w:proofErr w:type="spellEnd"/>
      <w:r w:rsidR="00A362C1">
        <w:t xml:space="preserve"> при изменении кон</w:t>
      </w:r>
      <w:r w:rsidR="00A362C1" w:rsidRPr="00A362C1">
        <w:t>ц</w:t>
      </w:r>
      <w:r w:rsidR="00A362C1">
        <w:t>ентрации окислителя</w:t>
      </w:r>
    </w:p>
    <w:tbl>
      <w:tblPr>
        <w:tblW w:w="26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817"/>
        <w:gridCol w:w="851"/>
        <w:gridCol w:w="852"/>
        <w:gridCol w:w="993"/>
      </w:tblGrid>
      <w:tr w:rsidR="001939A6" w:rsidRPr="00FF1903" w14:paraId="51EEB9BA" w14:textId="77777777" w:rsidTr="003D7D74">
        <w:trPr>
          <w:trHeight w:val="510"/>
        </w:trPr>
        <w:tc>
          <w:tcPr>
            <w:tcW w:w="15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4EDA94" w14:textId="70DD2D02" w:rsidR="001939A6" w:rsidRPr="00FF1903" w:rsidRDefault="001939A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облучения, мин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206217F" w14:textId="0B1866A0" w:rsidR="001939A6" w:rsidRPr="001939A6" w:rsidRDefault="001939A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перекиси водорода, </w:t>
            </w:r>
            <w:proofErr w:type="spellStart"/>
            <w:r>
              <w:rPr>
                <w:sz w:val="22"/>
                <w:szCs w:val="22"/>
              </w:rPr>
              <w:t>мМ</w:t>
            </w:r>
            <w:proofErr w:type="spellEnd"/>
          </w:p>
        </w:tc>
      </w:tr>
      <w:tr w:rsidR="001939A6" w:rsidRPr="00FF1903" w14:paraId="4DFA466B" w14:textId="77777777" w:rsidTr="003D7D74">
        <w:trPr>
          <w:trHeight w:val="207"/>
        </w:trPr>
        <w:tc>
          <w:tcPr>
            <w:tcW w:w="15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80D938E" w14:textId="77777777" w:rsidR="001939A6" w:rsidRDefault="001939A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C1A4BC1" w14:textId="3FA8AD7B" w:rsidR="001939A6" w:rsidRPr="00805FE8" w:rsidRDefault="001939A6" w:rsidP="008E26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0,25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A0A5" w14:textId="666057CE" w:rsidR="001939A6" w:rsidRPr="006D68E5" w:rsidRDefault="001939A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197D" w14:textId="191558D9" w:rsidR="001939A6" w:rsidRPr="006D68E5" w:rsidRDefault="001939A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415AA8" w14:textId="62FE3C98" w:rsidR="001939A6" w:rsidRPr="006D68E5" w:rsidRDefault="001939A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939A6" w:rsidRPr="00FF1903" w14:paraId="635143BE" w14:textId="77777777" w:rsidTr="003D7D74">
        <w:trPr>
          <w:trHeight w:val="143"/>
        </w:trPr>
        <w:tc>
          <w:tcPr>
            <w:tcW w:w="1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7CA045" w14:textId="6FA65E04" w:rsidR="001939A6" w:rsidRPr="00FF1903" w:rsidRDefault="001939A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1D6A9C" w14:textId="7CD04531" w:rsidR="001939A6" w:rsidRPr="00FF1903" w:rsidRDefault="004A30C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E80" w14:textId="730EF52F" w:rsidR="001939A6" w:rsidRPr="00FF1903" w:rsidRDefault="004A30C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D654" w14:textId="138D606A" w:rsidR="001939A6" w:rsidRPr="00FF1903" w:rsidRDefault="004A30C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D4E4940" w14:textId="0C793763" w:rsidR="001939A6" w:rsidRPr="00FF1903" w:rsidRDefault="004A30C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</w:tr>
      <w:tr w:rsidR="001939A6" w:rsidRPr="00FF1903" w14:paraId="2251D1D2" w14:textId="68252F9E" w:rsidTr="003D7D74">
        <w:trPr>
          <w:trHeight w:val="47"/>
        </w:trPr>
        <w:tc>
          <w:tcPr>
            <w:tcW w:w="15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2E7E2" w14:textId="5C71C3ED" w:rsidR="001939A6" w:rsidRPr="00FF1903" w:rsidRDefault="001939A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F469502" w14:textId="35E966AA" w:rsidR="001939A6" w:rsidRPr="00FF1903" w:rsidRDefault="004A30C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93F23" w14:textId="03F183BB" w:rsidR="001939A6" w:rsidRPr="00FF1903" w:rsidRDefault="003D7D74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2FC78" w14:textId="2697B36D" w:rsidR="001939A6" w:rsidRPr="00FF1903" w:rsidRDefault="003D7D74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6F1D6" w14:textId="7FAA7096" w:rsidR="001939A6" w:rsidRPr="00FF1903" w:rsidRDefault="003D7D74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0,117</w:t>
            </w:r>
          </w:p>
        </w:tc>
      </w:tr>
      <w:tr w:rsidR="001939A6" w:rsidRPr="00FF1903" w14:paraId="7E201D62" w14:textId="3234EF30" w:rsidTr="003D7D74">
        <w:trPr>
          <w:trHeight w:val="47"/>
        </w:trPr>
        <w:tc>
          <w:tcPr>
            <w:tcW w:w="1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EB2D85" w14:textId="39A8A38C" w:rsidR="001939A6" w:rsidRPr="00FF1903" w:rsidRDefault="001939A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43E250D" w14:textId="638443B2" w:rsidR="001939A6" w:rsidRPr="00FF1903" w:rsidRDefault="004A30C6" w:rsidP="006D68E5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0,114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98E35C9" w14:textId="44A2ACEA" w:rsidR="001939A6" w:rsidRPr="00F83992" w:rsidRDefault="00F83992" w:rsidP="006D68E5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0,106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E8C9F" w14:textId="24CB3218" w:rsidR="001939A6" w:rsidRPr="00FF1903" w:rsidRDefault="003D7D74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0,105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7B46B" w14:textId="48AE15CA" w:rsidR="001939A6" w:rsidRPr="00FF1903" w:rsidRDefault="003D7D74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0,068</w:t>
            </w:r>
          </w:p>
        </w:tc>
      </w:tr>
      <w:tr w:rsidR="001939A6" w:rsidRPr="00FF1903" w14:paraId="5525624D" w14:textId="3BA81F9B" w:rsidTr="003D7D74">
        <w:trPr>
          <w:trHeight w:val="47"/>
        </w:trPr>
        <w:tc>
          <w:tcPr>
            <w:tcW w:w="15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114350F" w14:textId="601E52E3" w:rsidR="001939A6" w:rsidRPr="00805FE8" w:rsidRDefault="001939A6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4F0C" w14:textId="20021DBF" w:rsidR="001939A6" w:rsidRPr="00FF1903" w:rsidRDefault="004A30C6" w:rsidP="006D68E5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0,099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B9D22" w14:textId="326C721F" w:rsidR="001939A6" w:rsidRPr="00FF1903" w:rsidRDefault="003D7D74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0,097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B1DC" w14:textId="0562D03A" w:rsidR="001939A6" w:rsidRPr="00FF1903" w:rsidRDefault="003D7D74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0,0935</w:t>
            </w:r>
          </w:p>
        </w:tc>
        <w:tc>
          <w:tcPr>
            <w:tcW w:w="9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0D61A" w14:textId="5986C46B" w:rsidR="001939A6" w:rsidRPr="00FF1903" w:rsidRDefault="003D7D74" w:rsidP="006D68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0,034</w:t>
            </w:r>
          </w:p>
        </w:tc>
      </w:tr>
    </w:tbl>
    <w:p w14:paraId="31D07757" w14:textId="75CAC7A7" w:rsidR="0014101F" w:rsidRDefault="0014101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 w:rsidR="00F83992">
        <w:rPr>
          <w:color w:val="000000"/>
        </w:rPr>
        <w:t xml:space="preserve">Концентрация </w:t>
      </w:r>
      <w:proofErr w:type="spellStart"/>
      <w:r w:rsidR="00F83992">
        <w:rPr>
          <w:color w:val="000000"/>
        </w:rPr>
        <w:t>неонола</w:t>
      </w:r>
      <w:proofErr w:type="spellEnd"/>
      <w:r w:rsidR="00F83992">
        <w:rPr>
          <w:color w:val="000000"/>
        </w:rPr>
        <w:t xml:space="preserve"> 9-6 изменилась</w:t>
      </w:r>
      <w:r>
        <w:rPr>
          <w:color w:val="000000"/>
        </w:rPr>
        <w:t xml:space="preserve"> только после окисления 2мМ перекисью водорода и </w:t>
      </w:r>
      <w:proofErr w:type="gramStart"/>
      <w:r>
        <w:rPr>
          <w:color w:val="000000"/>
        </w:rPr>
        <w:t>облучении</w:t>
      </w:r>
      <w:proofErr w:type="gramEnd"/>
      <w:r>
        <w:rPr>
          <w:color w:val="000000"/>
        </w:rPr>
        <w:t xml:space="preserve"> в течени</w:t>
      </w:r>
      <w:r w:rsidR="00250D8E">
        <w:rPr>
          <w:color w:val="000000"/>
        </w:rPr>
        <w:t>е</w:t>
      </w:r>
      <w:r>
        <w:rPr>
          <w:color w:val="000000"/>
        </w:rPr>
        <w:t xml:space="preserve"> одного часа.</w:t>
      </w:r>
      <w:r w:rsidR="00250D8E">
        <w:rPr>
          <w:color w:val="000000"/>
        </w:rPr>
        <w:t xml:space="preserve"> Поверхностное натяжение изменилось с   31 Н/м до 52Н/м.</w:t>
      </w:r>
    </w:p>
    <w:p w14:paraId="758E6909" w14:textId="7ED47FDD" w:rsidR="00250D8E" w:rsidRDefault="00250D8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 xml:space="preserve">Таким образом, процесс </w:t>
      </w:r>
      <w:proofErr w:type="gramStart"/>
      <w:r>
        <w:rPr>
          <w:color w:val="000000"/>
        </w:rPr>
        <w:t>уф-окисления</w:t>
      </w:r>
      <w:proofErr w:type="gramEnd"/>
      <w:r>
        <w:rPr>
          <w:color w:val="000000"/>
        </w:rPr>
        <w:t xml:space="preserve"> может быть использован в очистке сточных вод от поверхностно активн</w:t>
      </w:r>
      <w:r w:rsidRPr="00250D8E">
        <w:rPr>
          <w:color w:val="000000"/>
        </w:rPr>
        <w:t>ы</w:t>
      </w:r>
      <w:r>
        <w:rPr>
          <w:color w:val="000000"/>
        </w:rPr>
        <w:t xml:space="preserve">х веществ и лекарственных препаратов. </w:t>
      </w:r>
    </w:p>
    <w:p w14:paraId="29FF5A0F" w14:textId="442EB9C1" w:rsidR="0014101F" w:rsidRDefault="0014101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</w:p>
    <w:p w14:paraId="166FA7BB" w14:textId="548268E7" w:rsidR="0014101F" w:rsidRDefault="0014101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</w:p>
    <w:p w14:paraId="4F9FA84C" w14:textId="257F0F03" w:rsidR="0014101F" w:rsidRPr="0014101F" w:rsidRDefault="0014101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</w:t>
      </w:r>
    </w:p>
    <w:sectPr w:rsidR="0014101F" w:rsidRPr="0014101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101F"/>
    <w:rsid w:val="0015422C"/>
    <w:rsid w:val="001939A6"/>
    <w:rsid w:val="001E61C2"/>
    <w:rsid w:val="001F0493"/>
    <w:rsid w:val="0022260A"/>
    <w:rsid w:val="002264EE"/>
    <w:rsid w:val="0023307C"/>
    <w:rsid w:val="00250D8E"/>
    <w:rsid w:val="0031361E"/>
    <w:rsid w:val="00366337"/>
    <w:rsid w:val="00391C38"/>
    <w:rsid w:val="003B76D6"/>
    <w:rsid w:val="003D7D74"/>
    <w:rsid w:val="003E2601"/>
    <w:rsid w:val="003F4E6B"/>
    <w:rsid w:val="004A26A3"/>
    <w:rsid w:val="004A30C6"/>
    <w:rsid w:val="004F0EDF"/>
    <w:rsid w:val="00522BF1"/>
    <w:rsid w:val="00590166"/>
    <w:rsid w:val="005D022B"/>
    <w:rsid w:val="005E5BE9"/>
    <w:rsid w:val="0069427D"/>
    <w:rsid w:val="006D68E5"/>
    <w:rsid w:val="006F7A19"/>
    <w:rsid w:val="007213E1"/>
    <w:rsid w:val="00775389"/>
    <w:rsid w:val="00797838"/>
    <w:rsid w:val="007C36D8"/>
    <w:rsid w:val="007F2744"/>
    <w:rsid w:val="00805FE8"/>
    <w:rsid w:val="008931BE"/>
    <w:rsid w:val="008C67E3"/>
    <w:rsid w:val="008E26B9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62C1"/>
    <w:rsid w:val="00A61B7F"/>
    <w:rsid w:val="00AA2DA5"/>
    <w:rsid w:val="00AB5A9C"/>
    <w:rsid w:val="00AD43D9"/>
    <w:rsid w:val="00AD7380"/>
    <w:rsid w:val="00BF36F8"/>
    <w:rsid w:val="00BF4622"/>
    <w:rsid w:val="00C844E2"/>
    <w:rsid w:val="00CD00B1"/>
    <w:rsid w:val="00D22306"/>
    <w:rsid w:val="00D42542"/>
    <w:rsid w:val="00D8121C"/>
    <w:rsid w:val="00D90F3E"/>
    <w:rsid w:val="00E22189"/>
    <w:rsid w:val="00E74069"/>
    <w:rsid w:val="00E81D35"/>
    <w:rsid w:val="00EB1F49"/>
    <w:rsid w:val="00F8399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61B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B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61B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B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3B1AE7-0DE7-4A61-BEF1-F3E95975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Лебединская</cp:lastModifiedBy>
  <cp:revision>12</cp:revision>
  <dcterms:created xsi:type="dcterms:W3CDTF">2024-12-16T00:35:00Z</dcterms:created>
  <dcterms:modified xsi:type="dcterms:W3CDTF">2025-03-02T13:02:00Z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