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Использование машинного обучения для предсказние обменного смещения в магнитных наночастицах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rtl w:val="0"/>
        </w:rPr>
        <w:t xml:space="preserve">Капранова 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.А., </w:t>
      </w:r>
      <w:r w:rsidDel="00000000" w:rsidR="00000000" w:rsidRPr="00000000">
        <w:rPr>
          <w:b w:val="1"/>
          <w:i w:val="1"/>
          <w:rtl w:val="0"/>
        </w:rPr>
        <w:t xml:space="preserve">Кладько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Д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highlight w:val="yellow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 курс </w:t>
      </w:r>
      <w:r w:rsidDel="00000000" w:rsidR="00000000" w:rsidRPr="00000000">
        <w:rPr>
          <w:i w:val="1"/>
          <w:rtl w:val="0"/>
        </w:rPr>
        <w:t xml:space="preserve">магистратура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ИТМO, Санкт-Петербургский государственный университет информационных технологий, механики и оптики, Санкт-Петербург</w:t>
      </w:r>
      <w:r w:rsidDel="00000000" w:rsidR="00000000" w:rsidRPr="00000000">
        <w:rPr>
          <w:i w:val="1"/>
          <w:color w:val="000000"/>
          <w:rtl w:val="0"/>
        </w:rPr>
        <w:t xml:space="preserve">, Россия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u w:val="single"/>
          <w:rtl w:val="0"/>
        </w:rPr>
        <w:t xml:space="preserve">kapranova@scamt-itmo.ru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Развитие магнитных материалов играет ключевую роль в таких областях, как спинтроника, магнитная запись и катализ. Одним из важных факторов, определяющих их свойства, является обменное смещение, возникающее при взаимодействии ферромагнитных и антиферромагнитных фаз в гетероструктурах.</w:t>
      </w:r>
      <w:r w:rsidDel="00000000" w:rsidR="00000000" w:rsidRPr="00000000">
        <w:rPr>
          <w:rtl w:val="0"/>
        </w:rPr>
        <w:t xml:space="preserve">Оптимизация обменного смещения в магнитных наночастицах является сложной задачей, требующей значительных вычислительных ресурсов при использовании традиционных методов, таких как теория функционала плотности и микромагнитное моделирование[1-2]. В этом исследовании рассматривается применение машинного обучения для предсказания обменного смещения, что значительно сокращает вычислительные затраты.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Машинное обучение предоставляет мощный инструмент для прогнозирования магнитных характеристик наноматериалов. В ходе исследования был собран и проанализирован датасет, включающий 980 образцов магнитных гетероструктурных наночастиц, описанных 37 параметрами, такими как геометрические, магнитные и кристаллографические свойства. Анализ состава наночастиц позволил выявить ключевые зависимости между структурными характеристиками и эффектом обменного смещения.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На основе полученных данных были обучены и протестированы несколько моделей, включая XGBoost и Kolmogorov-Arnold Network (KAN)[3]. Для оценки их производительности использовалась пятикратная кросс-валидация, что позволило объективно оценить предсказательные возможности моделей.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Таблица 1. Сравнение точности моделей прогнозирования ОС</w:t>
      </w:r>
    </w:p>
    <w:tbl>
      <w:tblPr>
        <w:tblStyle w:val="Table1"/>
        <w:tblW w:w="939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815"/>
        <w:gridCol w:w="1815"/>
        <w:gridCol w:w="1815"/>
        <w:gridCol w:w="2025"/>
        <w:tblGridChange w:id="0">
          <w:tblGrid>
            <w:gridCol w:w="1920"/>
            <w:gridCol w:w="1815"/>
            <w:gridCol w:w="1815"/>
            <w:gridCol w:w="181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Модель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R² (обучение)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R² (тест)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R² (валидация)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RMSE</w:t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XGBoost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Random 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0.27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Как видно из таблицы, что XGBoost наиболее точен, а KAN эффективен для предсказания высоких значений обменного смещения. Использование этих методов позволяет находить баланс между точностью и выявлением сложных магнитных закономерностей.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Rule="auto"/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Исследование демонстрирует эффективность машинного обучения для прогнозирования обменного смещения, что открывает новые возможности для разработки магнитов и спинтронных устройств. Будущие работы будут направлены на расширение базы данных и использование глубинного обучения для улучшения точности предсказаний.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firstLine="397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финансировалась Российским научным фондом No. 23-23-00334. Авторы также благодарят федеральную программу лидерства в академических кругах 2030 года за поддержку инфраструктуры.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firstLine="0"/>
        <w:jc w:val="both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1. Kurichenko, V. L.; Karpenkov, D. Y.; Degtyarenko, A. Y. Experimental and micromagnetic investigation of texture influence on magnetic properties of anisotropic Co/Co3O4 exchange-bias composites. J. Magn. Magn. Mater. 2023, 565 (September 2022), No. 170232.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jc w:val="both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2. Brown, W. F. Virtues and weaknesses of the domain concept. Rev. Mod. Phys. 1945, 17 (1), 15−19.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