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5A68" w14:textId="77777777" w:rsidR="00550076" w:rsidRDefault="00BB670D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Наноразмерные катализаторы на основе переходных металлов, иммобилизованных на упорядоченных пористых полимерах, в гидропревращении модельных соединений бионефти </w:t>
      </w:r>
    </w:p>
    <w:p w14:paraId="1BB82B24" w14:textId="77777777" w:rsidR="00550076" w:rsidRDefault="00BB670D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Шакиров И.И.</w:t>
      </w:r>
    </w:p>
    <w:p w14:paraId="035BB22A" w14:textId="77777777" w:rsidR="00550076" w:rsidRDefault="00BB670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научный сотрудник кафедры химии нефти и органического катализа</w:t>
      </w:r>
    </w:p>
    <w:p w14:paraId="6FCE9D91" w14:textId="77777777" w:rsidR="00550076" w:rsidRDefault="00BB670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</w:t>
      </w:r>
      <w:r>
        <w:rPr>
          <w:i/>
          <w:color w:val="000000"/>
        </w:rPr>
        <w:t>ственный университет имени М.В. Ломоносова,</w:t>
      </w:r>
    </w:p>
    <w:p w14:paraId="647FB93D" w14:textId="77777777" w:rsidR="00550076" w:rsidRDefault="00BB670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12F232DA" w14:textId="77777777" w:rsidR="00550076" w:rsidRDefault="00BB670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>
        <w:rPr>
          <w:i/>
          <w:color w:val="000000"/>
          <w:u w:val="single"/>
          <w:lang w:val="en-US"/>
        </w:rPr>
        <w:t>sammy</w:t>
      </w:r>
      <w:r>
        <w:rPr>
          <w:i/>
          <w:color w:val="000000"/>
          <w:u w:val="single"/>
        </w:rPr>
        <w:t>-</w:t>
      </w:r>
      <w:r>
        <w:rPr>
          <w:i/>
          <w:color w:val="000000"/>
          <w:u w:val="single"/>
          <w:lang w:val="en-US"/>
        </w:rPr>
        <w:t>power</w:t>
      </w:r>
      <w:r>
        <w:rPr>
          <w:i/>
          <w:color w:val="000000"/>
          <w:u w:val="single"/>
        </w:rPr>
        <w:t>96@</w:t>
      </w:r>
      <w:r>
        <w:rPr>
          <w:i/>
          <w:color w:val="000000"/>
          <w:u w:val="single"/>
          <w:lang w:val="en-US"/>
        </w:rPr>
        <w:t>yandex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ru</w:t>
      </w:r>
      <w:r>
        <w:rPr>
          <w:i/>
          <w:color w:val="000000"/>
        </w:rPr>
        <w:t xml:space="preserve"> </w:t>
      </w:r>
    </w:p>
    <w:p w14:paraId="709598EE" w14:textId="77777777" w:rsidR="00550076" w:rsidRDefault="00BB670D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удовлетворения энергетических потребностей, на фоне постепенного истощения природных запасов невозобновляемого углеродсодержащего сырья, в</w:t>
      </w:r>
      <w:r>
        <w:rPr>
          <w:color w:val="000000"/>
        </w:rPr>
        <w:t>стаёт вопрос о поиске альтернативных источников энергии. Одним из возможных решений этого вопроса может стать использование биотоплива, получаемого из лигниноцеллюлозной биомассы. Перспективным способом переработки лигниноцеллюлозного сырья является процес</w:t>
      </w:r>
      <w:r>
        <w:rPr>
          <w:color w:val="000000"/>
        </w:rPr>
        <w:t>с быстрого пиролиза, в результате которого образуется ценный продукт, называемый бионефтью. Бионефть непригодна для использования в качестве топлива ввиду высокого содержания кислородсодержащих веществ, поэтому требует предварительного облагораживания. Одн</w:t>
      </w:r>
      <w:r>
        <w:rPr>
          <w:color w:val="000000"/>
        </w:rPr>
        <w:t>им из основных методов облагораживания бионефти является гидродеоксигенация. Традиционно гидродеоксигенацию проводят при высоких давлении и температуре с использованием NiMo- и CoMo сульфидных катализаторов гидроочистки. Однако такие катализаторы загрязняю</w:t>
      </w:r>
      <w:r>
        <w:rPr>
          <w:color w:val="000000"/>
        </w:rPr>
        <w:t xml:space="preserve">т бионефть серой, легко закоксовываются и дезактивируются под действием воды. Разработка несульфидных наноразмерных каталитических систем гидродеоксигенации бионефти является актуальной задачей. </w:t>
      </w:r>
    </w:p>
    <w:p w14:paraId="612C5760" w14:textId="62FA9AC1" w:rsidR="00BB670D" w:rsidRDefault="00BB670D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нашей работе </w:t>
      </w:r>
      <w:r w:rsidR="00CC0871">
        <w:rPr>
          <w:color w:val="000000"/>
        </w:rPr>
        <w:t>синтезированы наноразмерные</w:t>
      </w:r>
      <w:r w:rsidR="00A10738">
        <w:rPr>
          <w:color w:val="000000"/>
        </w:rPr>
        <w:t xml:space="preserve"> </w:t>
      </w:r>
      <w:r w:rsidR="00A10738">
        <w:rPr>
          <w:color w:val="000000"/>
          <w:lang w:val="en-US"/>
        </w:rPr>
        <w:t>Ru</w:t>
      </w:r>
      <w:r w:rsidR="00A10738" w:rsidRPr="00A10738">
        <w:rPr>
          <w:color w:val="000000"/>
        </w:rPr>
        <w:t xml:space="preserve">-, </w:t>
      </w:r>
      <w:r w:rsidR="00A10738">
        <w:rPr>
          <w:color w:val="000000"/>
          <w:lang w:val="en-US"/>
        </w:rPr>
        <w:t>Pd</w:t>
      </w:r>
      <w:r w:rsidR="00A10738" w:rsidRPr="00A10738">
        <w:rPr>
          <w:color w:val="000000"/>
        </w:rPr>
        <w:t xml:space="preserve">- </w:t>
      </w:r>
      <w:r w:rsidR="00A10738">
        <w:rPr>
          <w:color w:val="000000"/>
        </w:rPr>
        <w:t xml:space="preserve">и </w:t>
      </w:r>
      <w:r w:rsidR="00A10738">
        <w:rPr>
          <w:color w:val="000000"/>
          <w:lang w:val="en-US"/>
        </w:rPr>
        <w:t>Ni</w:t>
      </w:r>
      <w:r w:rsidR="00A10738" w:rsidRPr="00A10738">
        <w:rPr>
          <w:color w:val="000000"/>
          <w:vertAlign w:val="subscript"/>
        </w:rPr>
        <w:t>2</w:t>
      </w:r>
      <w:r w:rsidR="00A10738">
        <w:rPr>
          <w:color w:val="000000"/>
          <w:lang w:val="en-US"/>
        </w:rPr>
        <w:t>P</w:t>
      </w:r>
      <w:r w:rsidR="00A10738">
        <w:rPr>
          <w:color w:val="000000"/>
        </w:rPr>
        <w:t>-катализаторы</w:t>
      </w:r>
      <w:r w:rsidR="00A10738" w:rsidRPr="00A10738">
        <w:rPr>
          <w:color w:val="000000"/>
        </w:rPr>
        <w:t xml:space="preserve"> </w:t>
      </w:r>
      <w:r w:rsidR="00A10738">
        <w:rPr>
          <w:color w:val="000000"/>
        </w:rPr>
        <w:t>на основе мезопористых фенолформальдегидных наносфер</w:t>
      </w:r>
      <w:r w:rsidR="00845ED9" w:rsidRPr="00845ED9">
        <w:rPr>
          <w:color w:val="000000"/>
        </w:rPr>
        <w:t xml:space="preserve"> (</w:t>
      </w:r>
      <w:r w:rsidR="00845ED9">
        <w:rPr>
          <w:color w:val="000000"/>
          <w:lang w:val="en-US"/>
        </w:rPr>
        <w:t>Ru</w:t>
      </w:r>
      <w:r w:rsidR="00845ED9" w:rsidRPr="00845ED9">
        <w:rPr>
          <w:color w:val="000000"/>
        </w:rPr>
        <w:t>-</w:t>
      </w:r>
      <w:r w:rsidR="00845ED9">
        <w:rPr>
          <w:color w:val="000000"/>
          <w:lang w:val="en-US"/>
        </w:rPr>
        <w:t>NSMP</w:t>
      </w:r>
      <w:r w:rsidR="00845ED9" w:rsidRPr="00845ED9">
        <w:rPr>
          <w:color w:val="000000"/>
        </w:rPr>
        <w:t xml:space="preserve">, </w:t>
      </w:r>
      <w:r w:rsidR="00845ED9">
        <w:rPr>
          <w:color w:val="000000"/>
          <w:lang w:val="en-US"/>
        </w:rPr>
        <w:t>Pd</w:t>
      </w:r>
      <w:r w:rsidR="00845ED9" w:rsidRPr="00845ED9">
        <w:rPr>
          <w:color w:val="000000"/>
        </w:rPr>
        <w:t>-</w:t>
      </w:r>
      <w:r w:rsidR="00845ED9">
        <w:rPr>
          <w:color w:val="000000"/>
          <w:lang w:val="en-US"/>
        </w:rPr>
        <w:t>NSMP</w:t>
      </w:r>
      <w:r w:rsidR="00845ED9" w:rsidRPr="00845ED9">
        <w:rPr>
          <w:color w:val="000000"/>
        </w:rPr>
        <w:t xml:space="preserve"> </w:t>
      </w:r>
      <w:r w:rsidR="00845ED9">
        <w:rPr>
          <w:color w:val="000000"/>
        </w:rPr>
        <w:t xml:space="preserve">и </w:t>
      </w:r>
      <w:r w:rsidR="00845ED9">
        <w:rPr>
          <w:color w:val="000000"/>
          <w:lang w:val="en-US"/>
        </w:rPr>
        <w:t>Ni</w:t>
      </w:r>
      <w:r w:rsidR="00845ED9" w:rsidRPr="00845ED9">
        <w:rPr>
          <w:color w:val="000000"/>
          <w:vertAlign w:val="subscript"/>
        </w:rPr>
        <w:t>2</w:t>
      </w:r>
      <w:r w:rsidR="00845ED9">
        <w:rPr>
          <w:color w:val="000000"/>
          <w:lang w:val="en-US"/>
        </w:rPr>
        <w:t>P</w:t>
      </w:r>
      <w:r w:rsidR="00845ED9" w:rsidRPr="00845ED9">
        <w:rPr>
          <w:color w:val="000000"/>
        </w:rPr>
        <w:t>-</w:t>
      </w:r>
      <w:r w:rsidR="00845ED9">
        <w:rPr>
          <w:color w:val="000000"/>
          <w:lang w:val="en-US"/>
        </w:rPr>
        <w:t>NSMP</w:t>
      </w:r>
      <w:r w:rsidR="00845ED9" w:rsidRPr="00A82AAC">
        <w:rPr>
          <w:color w:val="000000"/>
        </w:rPr>
        <w:t>)</w:t>
      </w:r>
      <w:r w:rsidR="00D26DE1">
        <w:rPr>
          <w:color w:val="000000"/>
        </w:rPr>
        <w:t>. Полученные катализаторы были испытаны в гидрировании компонентов бионефти: фурфурола и гваякола.</w:t>
      </w:r>
      <w:r w:rsidR="00511CB9">
        <w:rPr>
          <w:color w:val="000000"/>
        </w:rPr>
        <w:t xml:space="preserve"> </w:t>
      </w:r>
      <w:r w:rsidR="001E2331" w:rsidRPr="001E2331">
        <w:rPr>
          <w:color w:val="000000"/>
        </w:rPr>
        <w:t>Установлено, что основным продуктом реакции</w:t>
      </w:r>
      <w:r w:rsidR="0076364D">
        <w:rPr>
          <w:color w:val="000000"/>
        </w:rPr>
        <w:t xml:space="preserve"> гидрирования гваякола</w:t>
      </w:r>
      <w:r w:rsidR="005574BE" w:rsidRPr="005574BE">
        <w:rPr>
          <w:color w:val="000000"/>
        </w:rPr>
        <w:t xml:space="preserve"> </w:t>
      </w:r>
      <w:r w:rsidR="005574BE">
        <w:rPr>
          <w:color w:val="000000"/>
        </w:rPr>
        <w:t xml:space="preserve">при </w:t>
      </w:r>
      <w:r w:rsidR="005574BE">
        <w:t>200</w:t>
      </w:r>
      <w:r w:rsidR="005574BE" w:rsidRPr="00772783">
        <w:t>°С</w:t>
      </w:r>
      <w:r w:rsidR="005574BE" w:rsidRPr="005574BE">
        <w:t>,</w:t>
      </w:r>
      <w:r w:rsidR="005574BE">
        <w:t xml:space="preserve"> </w:t>
      </w:r>
      <w:r w:rsidR="005574BE">
        <w:t>4 МПа</w:t>
      </w:r>
      <w:r w:rsidR="005574BE">
        <w:t xml:space="preserve"> </w:t>
      </w:r>
      <w:r w:rsidR="005574BE">
        <w:rPr>
          <w:lang w:val="en-US"/>
        </w:rPr>
        <w:t>H</w:t>
      </w:r>
      <w:r w:rsidR="005574BE" w:rsidRPr="005574BE">
        <w:rPr>
          <w:vertAlign w:val="subscript"/>
        </w:rPr>
        <w:t>2</w:t>
      </w:r>
      <w:r w:rsidR="005574BE" w:rsidRPr="005574BE">
        <w:t xml:space="preserve"> </w:t>
      </w:r>
      <w:r w:rsidR="005574BE">
        <w:t>и</w:t>
      </w:r>
      <w:r w:rsidR="005574BE">
        <w:t xml:space="preserve"> субстрат</w:t>
      </w:r>
      <w:r w:rsidR="005574BE" w:rsidRPr="00772783">
        <w:t>/</w:t>
      </w:r>
      <w:r w:rsidR="005574BE">
        <w:t>катализатор = 200</w:t>
      </w:r>
      <w:r w:rsidR="001E2331" w:rsidRPr="001E2331">
        <w:rPr>
          <w:color w:val="000000"/>
        </w:rPr>
        <w:t xml:space="preserve"> в присутствии катализаторов на основе благородных металлов является 2-метоксициклогексанол</w:t>
      </w:r>
      <w:r w:rsidR="0076364D">
        <w:rPr>
          <w:color w:val="000000"/>
        </w:rPr>
        <w:t xml:space="preserve">, при этом степень гидродеоксигенации изменяется в ряду: </w:t>
      </w:r>
      <w:r w:rsidR="0076364D" w:rsidRPr="0076364D">
        <w:rPr>
          <w:color w:val="000000"/>
        </w:rPr>
        <w:t>Ru-NSM</w:t>
      </w:r>
      <w:r w:rsidR="00A82AAC">
        <w:rPr>
          <w:color w:val="000000"/>
          <w:lang w:val="en-US"/>
        </w:rPr>
        <w:t>P</w:t>
      </w:r>
      <w:r w:rsidR="0076364D" w:rsidRPr="0076364D">
        <w:rPr>
          <w:color w:val="000000"/>
        </w:rPr>
        <w:t>&gt;Pd-NSM</w:t>
      </w:r>
      <w:r w:rsidR="00A82AAC">
        <w:rPr>
          <w:color w:val="000000"/>
          <w:lang w:val="en-US"/>
        </w:rPr>
        <w:t>P</w:t>
      </w:r>
      <w:r w:rsidR="0076364D" w:rsidRPr="0076364D">
        <w:rPr>
          <w:color w:val="000000"/>
        </w:rPr>
        <w:t xml:space="preserve">&gt;Pd/C. </w:t>
      </w:r>
      <w:r w:rsidR="00511CB9" w:rsidRPr="00511CB9">
        <w:rPr>
          <w:color w:val="000000"/>
        </w:rPr>
        <w:t>Катализаторы на основе благородных металлов не требуют высоких температур проведения процесса, в то время как для количественного превращения гваякола в присутствии Ni</w:t>
      </w:r>
      <w:r w:rsidR="00511CB9" w:rsidRPr="00511CB9">
        <w:rPr>
          <w:color w:val="000000"/>
          <w:vertAlign w:val="subscript"/>
        </w:rPr>
        <w:t>2</w:t>
      </w:r>
      <w:r w:rsidR="00511CB9" w:rsidRPr="00511CB9">
        <w:rPr>
          <w:color w:val="000000"/>
        </w:rPr>
        <w:t>P-катализатор</w:t>
      </w:r>
      <w:r w:rsidR="00511CB9">
        <w:rPr>
          <w:color w:val="000000"/>
        </w:rPr>
        <w:t>а</w:t>
      </w:r>
      <w:r w:rsidR="00511CB9" w:rsidRPr="00511CB9">
        <w:rPr>
          <w:color w:val="000000"/>
        </w:rPr>
        <w:t xml:space="preserve"> необходимы высокие температуры</w:t>
      </w:r>
      <w:r w:rsidR="00511CB9">
        <w:rPr>
          <w:color w:val="000000"/>
        </w:rPr>
        <w:t>.</w:t>
      </w:r>
      <w:r w:rsidR="00511CB9">
        <w:rPr>
          <w:color w:val="000000"/>
        </w:rPr>
        <w:t xml:space="preserve"> </w:t>
      </w:r>
      <w:r w:rsidR="00E6797E">
        <w:rPr>
          <w:color w:val="000000"/>
        </w:rPr>
        <w:t xml:space="preserve">В присутствии </w:t>
      </w:r>
      <w:r w:rsidR="00511CB9" w:rsidRPr="00511CB9">
        <w:rPr>
          <w:color w:val="000000"/>
        </w:rPr>
        <w:t>Ni</w:t>
      </w:r>
      <w:r w:rsidR="00511CB9" w:rsidRPr="00511CB9">
        <w:rPr>
          <w:color w:val="000000"/>
          <w:vertAlign w:val="subscript"/>
        </w:rPr>
        <w:t>2</w:t>
      </w:r>
      <w:r w:rsidR="00511CB9" w:rsidRPr="00511CB9">
        <w:rPr>
          <w:color w:val="000000"/>
        </w:rPr>
        <w:t>P-катализатор</w:t>
      </w:r>
      <w:r w:rsidR="00511CB9">
        <w:rPr>
          <w:color w:val="000000"/>
        </w:rPr>
        <w:t>а</w:t>
      </w:r>
      <w:r w:rsidR="00511CB9" w:rsidRPr="00511CB9">
        <w:rPr>
          <w:color w:val="000000"/>
        </w:rPr>
        <w:t xml:space="preserve"> </w:t>
      </w:r>
      <w:r w:rsidR="00511CB9">
        <w:rPr>
          <w:color w:val="000000"/>
        </w:rPr>
        <w:t xml:space="preserve">при </w:t>
      </w:r>
      <w:r w:rsidR="00511CB9">
        <w:t>370</w:t>
      </w:r>
      <w:r w:rsidR="00511CB9" w:rsidRPr="00772783">
        <w:t>°С</w:t>
      </w:r>
      <w:r w:rsidR="00511CB9">
        <w:t>,</w:t>
      </w:r>
      <w:r w:rsidR="00511CB9">
        <w:t xml:space="preserve"> 4 МПа</w:t>
      </w:r>
      <w:r w:rsidR="00511CB9">
        <w:t xml:space="preserve"> </w:t>
      </w:r>
      <w:r w:rsidR="00511CB9">
        <w:rPr>
          <w:lang w:val="en-US"/>
        </w:rPr>
        <w:t>H</w:t>
      </w:r>
      <w:r w:rsidR="00511CB9" w:rsidRPr="00511CB9">
        <w:rPr>
          <w:vertAlign w:val="subscript"/>
        </w:rPr>
        <w:t>2</w:t>
      </w:r>
      <w:r w:rsidR="00511CB9" w:rsidRPr="00511CB9">
        <w:t xml:space="preserve"> </w:t>
      </w:r>
      <w:r w:rsidR="00511CB9">
        <w:t>и</w:t>
      </w:r>
      <w:r w:rsidR="00511CB9">
        <w:t xml:space="preserve"> субстрат</w:t>
      </w:r>
      <w:r w:rsidR="00511CB9" w:rsidRPr="00772783">
        <w:t>/</w:t>
      </w:r>
      <w:r w:rsidR="00511CB9">
        <w:t>катализатор = 60</w:t>
      </w:r>
      <w:r w:rsidR="00E6797E">
        <w:rPr>
          <w:color w:val="000000"/>
        </w:rPr>
        <w:t xml:space="preserve"> </w:t>
      </w:r>
      <w:r w:rsidR="00E6797E" w:rsidRPr="00E6797E">
        <w:rPr>
          <w:color w:val="000000"/>
        </w:rPr>
        <w:t xml:space="preserve">селективность по продуктам гидрирования ароматического кольца составила </w:t>
      </w:r>
      <w:r w:rsidR="00511CB9">
        <w:rPr>
          <w:color w:val="000000"/>
        </w:rPr>
        <w:t>33</w:t>
      </w:r>
      <w:r w:rsidR="00511CB9">
        <w:rPr>
          <w:color w:val="000000"/>
          <w:lang w:val="en-US"/>
        </w:rPr>
        <w:t> </w:t>
      </w:r>
      <w:r w:rsidR="00511CB9">
        <w:rPr>
          <w:color w:val="000000"/>
        </w:rPr>
        <w:t>масс.</w:t>
      </w:r>
      <w:r w:rsidR="00511CB9">
        <w:rPr>
          <w:color w:val="000000"/>
          <w:lang w:val="en-US"/>
        </w:rPr>
        <w:t> </w:t>
      </w:r>
      <w:r w:rsidR="00511CB9">
        <w:rPr>
          <w:color w:val="000000"/>
        </w:rPr>
        <w:t>%</w:t>
      </w:r>
      <w:r w:rsidR="00AD6E20">
        <w:rPr>
          <w:color w:val="000000"/>
        </w:rPr>
        <w:t>, в</w:t>
      </w:r>
      <w:r w:rsidR="00AD6E20" w:rsidRPr="00AD6E20">
        <w:rPr>
          <w:color w:val="000000"/>
        </w:rPr>
        <w:t xml:space="preserve"> продуктах реакции детектируется метилциклопентан, который, вероятно, образуется изомеризацией циклогексена. Помимо процессов гидрирования, деоксигенации, изомеризации происходят нежелательные реакции алкилирования, в результате которых образуются крезолы, диметилфенолы, метилпирокатехины.</w:t>
      </w:r>
      <w:r w:rsidR="00511CB9">
        <w:rPr>
          <w:color w:val="000000"/>
        </w:rPr>
        <w:t xml:space="preserve"> </w:t>
      </w:r>
      <w:r w:rsidR="0094132E" w:rsidRPr="001E2331">
        <w:rPr>
          <w:color w:val="000000"/>
        </w:rPr>
        <w:t>Установлено, что основным</w:t>
      </w:r>
      <w:r w:rsidR="0094132E">
        <w:rPr>
          <w:color w:val="000000"/>
        </w:rPr>
        <w:t>и</w:t>
      </w:r>
      <w:r w:rsidR="0094132E" w:rsidRPr="001E2331">
        <w:rPr>
          <w:color w:val="000000"/>
        </w:rPr>
        <w:t xml:space="preserve"> продукт</w:t>
      </w:r>
      <w:r w:rsidR="0094132E">
        <w:rPr>
          <w:color w:val="000000"/>
        </w:rPr>
        <w:t>ами</w:t>
      </w:r>
      <w:r w:rsidR="0094132E" w:rsidRPr="001E2331">
        <w:rPr>
          <w:color w:val="000000"/>
        </w:rPr>
        <w:t xml:space="preserve"> реакции</w:t>
      </w:r>
      <w:r w:rsidR="0094132E">
        <w:rPr>
          <w:color w:val="000000"/>
        </w:rPr>
        <w:t xml:space="preserve"> гидрирования </w:t>
      </w:r>
      <w:r w:rsidR="0094132E">
        <w:rPr>
          <w:color w:val="000000"/>
        </w:rPr>
        <w:t>фурфурола</w:t>
      </w:r>
      <w:r w:rsidR="0094132E" w:rsidRPr="005574BE">
        <w:rPr>
          <w:color w:val="000000"/>
        </w:rPr>
        <w:t xml:space="preserve"> </w:t>
      </w:r>
      <w:r w:rsidR="0094132E">
        <w:rPr>
          <w:color w:val="000000"/>
        </w:rPr>
        <w:t>при</w:t>
      </w:r>
      <w:r w:rsidR="00B91C5A">
        <w:rPr>
          <w:color w:val="000000"/>
        </w:rPr>
        <w:t xml:space="preserve"> полной конверсии в условиях</w:t>
      </w:r>
      <w:r w:rsidR="0094132E">
        <w:rPr>
          <w:color w:val="000000"/>
        </w:rPr>
        <w:t xml:space="preserve"> </w:t>
      </w:r>
      <w:r w:rsidR="0094132E">
        <w:t>200</w:t>
      </w:r>
      <w:r w:rsidR="0094132E" w:rsidRPr="00772783">
        <w:t>°С</w:t>
      </w:r>
      <w:r w:rsidR="0094132E" w:rsidRPr="005574BE">
        <w:t>,</w:t>
      </w:r>
      <w:r w:rsidR="0094132E">
        <w:t xml:space="preserve"> </w:t>
      </w:r>
      <w:r w:rsidR="0094132E">
        <w:t>3</w:t>
      </w:r>
      <w:r w:rsidR="0094132E">
        <w:t xml:space="preserve"> МПа </w:t>
      </w:r>
      <w:r w:rsidR="0094132E">
        <w:rPr>
          <w:lang w:val="en-US"/>
        </w:rPr>
        <w:t>H</w:t>
      </w:r>
      <w:r w:rsidR="0094132E" w:rsidRPr="005574BE">
        <w:rPr>
          <w:vertAlign w:val="subscript"/>
        </w:rPr>
        <w:t>2</w:t>
      </w:r>
      <w:r w:rsidR="0094132E" w:rsidRPr="005574BE">
        <w:t xml:space="preserve"> </w:t>
      </w:r>
      <w:r w:rsidR="0094132E">
        <w:t xml:space="preserve">в присутствии </w:t>
      </w:r>
      <w:r w:rsidR="0094132E">
        <w:rPr>
          <w:color w:val="000000"/>
          <w:lang w:val="en-US"/>
        </w:rPr>
        <w:t>Ru</w:t>
      </w:r>
      <w:r w:rsidR="0094132E" w:rsidRPr="00845ED9">
        <w:rPr>
          <w:color w:val="000000"/>
        </w:rPr>
        <w:t>-</w:t>
      </w:r>
      <w:r w:rsidR="0094132E">
        <w:rPr>
          <w:color w:val="000000"/>
          <w:lang w:val="en-US"/>
        </w:rPr>
        <w:t>NSMP</w:t>
      </w:r>
      <w:r w:rsidR="00CE6DC2" w:rsidRPr="00CE6DC2">
        <w:rPr>
          <w:color w:val="000000"/>
        </w:rPr>
        <w:t xml:space="preserve"> </w:t>
      </w:r>
      <w:r w:rsidR="00CE6DC2">
        <w:rPr>
          <w:color w:val="000000"/>
        </w:rPr>
        <w:t xml:space="preserve">являлся циклопентанон, в присутствии </w:t>
      </w:r>
      <w:r w:rsidR="00CE6DC2">
        <w:rPr>
          <w:color w:val="000000"/>
          <w:lang w:val="en-US"/>
        </w:rPr>
        <w:t>Pd</w:t>
      </w:r>
      <w:r w:rsidR="00CE6DC2" w:rsidRPr="00CE6DC2">
        <w:rPr>
          <w:color w:val="000000"/>
        </w:rPr>
        <w:t>-</w:t>
      </w:r>
      <w:r w:rsidR="00CE6DC2">
        <w:rPr>
          <w:color w:val="000000"/>
          <w:lang w:val="en-US"/>
        </w:rPr>
        <w:t>NSMP</w:t>
      </w:r>
      <w:r w:rsidR="00CE6DC2">
        <w:rPr>
          <w:color w:val="000000"/>
        </w:rPr>
        <w:t xml:space="preserve"> – тетрагидрофурфуриловый спирт</w:t>
      </w:r>
      <w:r w:rsidR="00286776">
        <w:rPr>
          <w:color w:val="000000"/>
        </w:rPr>
        <w:t xml:space="preserve">, в присутствии </w:t>
      </w:r>
      <w:r w:rsidR="00286776">
        <w:rPr>
          <w:color w:val="000000"/>
          <w:lang w:val="en-US"/>
        </w:rPr>
        <w:t>Ni</w:t>
      </w:r>
      <w:r w:rsidR="00286776" w:rsidRPr="00286776">
        <w:rPr>
          <w:color w:val="000000"/>
          <w:vertAlign w:val="subscript"/>
        </w:rPr>
        <w:t>2</w:t>
      </w:r>
      <w:r w:rsidR="00286776">
        <w:rPr>
          <w:color w:val="000000"/>
          <w:lang w:val="en-US"/>
        </w:rPr>
        <w:t>P</w:t>
      </w:r>
      <w:r w:rsidR="00286776" w:rsidRPr="00286776">
        <w:rPr>
          <w:color w:val="000000"/>
        </w:rPr>
        <w:t>-</w:t>
      </w:r>
      <w:r w:rsidR="00286776">
        <w:rPr>
          <w:color w:val="000000"/>
          <w:lang w:val="en-US"/>
        </w:rPr>
        <w:t>NSMP</w:t>
      </w:r>
      <w:r w:rsidR="00286776" w:rsidRPr="00286776">
        <w:rPr>
          <w:color w:val="000000"/>
        </w:rPr>
        <w:t xml:space="preserve"> </w:t>
      </w:r>
      <w:r w:rsidR="00286776">
        <w:rPr>
          <w:color w:val="000000"/>
        </w:rPr>
        <w:t>–</w:t>
      </w:r>
      <w:r w:rsidR="00286776" w:rsidRPr="00286776">
        <w:rPr>
          <w:color w:val="000000"/>
        </w:rPr>
        <w:t xml:space="preserve"> </w:t>
      </w:r>
      <w:r w:rsidR="00286776">
        <w:rPr>
          <w:color w:val="000000"/>
        </w:rPr>
        <w:t>метилфуран.</w:t>
      </w:r>
    </w:p>
    <w:p w14:paraId="0B7EE11C" w14:textId="7D20F5FC" w:rsidR="00BB670D" w:rsidRPr="005C0A6C" w:rsidRDefault="00BB670D" w:rsidP="00BB670D">
      <w:pPr>
        <w:shd w:val="clear" w:color="auto" w:fill="FFFFFF"/>
        <w:ind w:firstLine="397"/>
        <w:jc w:val="both"/>
        <w:rPr>
          <w:color w:val="000000"/>
        </w:rPr>
      </w:pPr>
      <w:r w:rsidRPr="005C0A6C">
        <w:rPr>
          <w:i/>
          <w:iCs/>
          <w:color w:val="000000"/>
        </w:rPr>
        <w:t>Исследование выполнено за счет средств гранта Российского научного фонда (проект № 22-79-10077, https://rscf.ru/project/22-79-10077).</w:t>
      </w:r>
    </w:p>
    <w:p w14:paraId="7A5BD441" w14:textId="77777777" w:rsidR="00550076" w:rsidRPr="00BB670D" w:rsidRDefault="00BB670D">
      <w:pPr>
        <w:shd w:val="clear" w:color="auto" w:fill="FFFFFF"/>
        <w:jc w:val="center"/>
        <w:rPr>
          <w:b/>
          <w:color w:val="000000"/>
        </w:rPr>
      </w:pPr>
      <w:r w:rsidRPr="00BB670D">
        <w:rPr>
          <w:b/>
          <w:color w:val="000000"/>
        </w:rPr>
        <w:t>Литература</w:t>
      </w:r>
    </w:p>
    <w:p w14:paraId="4F58D5A3" w14:textId="5406FA22" w:rsidR="005C0A6C" w:rsidRPr="00BB670D" w:rsidRDefault="005C0A6C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lang w:val="en-US"/>
        </w:rPr>
      </w:pPr>
      <w:r w:rsidRPr="00BB670D">
        <w:rPr>
          <w:lang w:val="en-US"/>
        </w:rPr>
        <w:t>Ward J. W. Hydrocracking processes and catalysts. // Fuel Processing Technology. 1993. V. 35. № 1. P. 55-85.</w:t>
      </w:r>
    </w:p>
    <w:p w14:paraId="1C526A27" w14:textId="77777777" w:rsidR="005C0A6C" w:rsidRPr="00BB670D" w:rsidRDefault="005C0A6C" w:rsidP="009B08C4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lang w:val="en-US"/>
        </w:rPr>
      </w:pPr>
      <w:r w:rsidRPr="00BB670D">
        <w:rPr>
          <w:color w:val="000000"/>
          <w:lang w:val="en-US"/>
        </w:rPr>
        <w:t>Laurent E., Delmon B. Study of the hydrodeoxygenation of carbonyl, carboxylic and guaiacyl groups over sulfided CoMo/</w:t>
      </w:r>
      <w:r w:rsidRPr="00BB670D">
        <w:rPr>
          <w:color w:val="000000"/>
        </w:rPr>
        <w:t>γ</w:t>
      </w:r>
      <w:r w:rsidRPr="00BB670D">
        <w:rPr>
          <w:color w:val="000000"/>
          <w:lang w:val="en-US"/>
        </w:rPr>
        <w:t>-Al</w:t>
      </w:r>
      <w:r w:rsidRPr="00BB670D">
        <w:rPr>
          <w:color w:val="000000"/>
          <w:vertAlign w:val="subscript"/>
          <w:lang w:val="en-US"/>
        </w:rPr>
        <w:t>2</w:t>
      </w:r>
      <w:r w:rsidRPr="00BB670D">
        <w:rPr>
          <w:color w:val="000000"/>
          <w:lang w:val="en-US"/>
        </w:rPr>
        <w:t>O</w:t>
      </w:r>
      <w:r w:rsidRPr="00BB670D">
        <w:rPr>
          <w:color w:val="000000"/>
          <w:vertAlign w:val="subscript"/>
          <w:lang w:val="en-US"/>
        </w:rPr>
        <w:t>3</w:t>
      </w:r>
      <w:r w:rsidRPr="00BB670D">
        <w:rPr>
          <w:color w:val="000000"/>
          <w:lang w:val="en-US"/>
        </w:rPr>
        <w:t xml:space="preserve"> and NiMo/</w:t>
      </w:r>
      <w:r w:rsidRPr="00BB670D">
        <w:rPr>
          <w:color w:val="000000"/>
        </w:rPr>
        <w:t>γ</w:t>
      </w:r>
      <w:r w:rsidRPr="00BB670D">
        <w:rPr>
          <w:color w:val="000000"/>
          <w:lang w:val="en-US"/>
        </w:rPr>
        <w:t>-Al</w:t>
      </w:r>
      <w:r w:rsidRPr="00BB670D">
        <w:rPr>
          <w:color w:val="000000"/>
          <w:vertAlign w:val="subscript"/>
          <w:lang w:val="en-US"/>
        </w:rPr>
        <w:t>2</w:t>
      </w:r>
      <w:r w:rsidRPr="00BB670D">
        <w:rPr>
          <w:color w:val="000000"/>
          <w:lang w:val="en-US"/>
        </w:rPr>
        <w:t>O</w:t>
      </w:r>
      <w:r w:rsidRPr="00BB670D">
        <w:rPr>
          <w:color w:val="000000"/>
          <w:vertAlign w:val="subscript"/>
          <w:lang w:val="en-US"/>
        </w:rPr>
        <w:t>3</w:t>
      </w:r>
      <w:r w:rsidRPr="00BB670D">
        <w:rPr>
          <w:color w:val="000000"/>
          <w:lang w:val="en-US"/>
        </w:rPr>
        <w:t xml:space="preserve"> catalysts: I. Catalytic reaction schemes. // Applied Catalysis A: General. 1994. V. 109. № 1. P. 77-96.</w:t>
      </w:r>
    </w:p>
    <w:p w14:paraId="29112230" w14:textId="77777777" w:rsidR="0095789A" w:rsidRPr="0095789A" w:rsidRDefault="0095789A" w:rsidP="0095789A">
      <w:pPr>
        <w:shd w:val="clear" w:color="auto" w:fill="FFFFFF"/>
        <w:ind w:left="360"/>
        <w:jc w:val="both"/>
        <w:rPr>
          <w:color w:val="000000"/>
          <w:sz w:val="22"/>
          <w:szCs w:val="22"/>
        </w:rPr>
      </w:pPr>
    </w:p>
    <w:sectPr w:rsidR="0095789A" w:rsidRPr="0095789A">
      <w:pgSz w:w="11906" w:h="16838"/>
      <w:pgMar w:top="1134" w:right="1361" w:bottom="1134" w:left="136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395"/>
    <w:multiLevelType w:val="multilevel"/>
    <w:tmpl w:val="37D691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E943FCB"/>
    <w:multiLevelType w:val="multilevel"/>
    <w:tmpl w:val="2ABCC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76"/>
    <w:rsid w:val="000B6A59"/>
    <w:rsid w:val="00111205"/>
    <w:rsid w:val="0013539A"/>
    <w:rsid w:val="001612D3"/>
    <w:rsid w:val="001C2AFD"/>
    <w:rsid w:val="001E2331"/>
    <w:rsid w:val="00282300"/>
    <w:rsid w:val="00283BB7"/>
    <w:rsid w:val="00286776"/>
    <w:rsid w:val="00301336"/>
    <w:rsid w:val="00350C20"/>
    <w:rsid w:val="00452D5D"/>
    <w:rsid w:val="004D7009"/>
    <w:rsid w:val="00511CB9"/>
    <w:rsid w:val="00550076"/>
    <w:rsid w:val="005574BE"/>
    <w:rsid w:val="0058409D"/>
    <w:rsid w:val="005C0A6C"/>
    <w:rsid w:val="0064033A"/>
    <w:rsid w:val="00642BD2"/>
    <w:rsid w:val="0076364D"/>
    <w:rsid w:val="008110CB"/>
    <w:rsid w:val="00845ED9"/>
    <w:rsid w:val="008B7FD6"/>
    <w:rsid w:val="0094132E"/>
    <w:rsid w:val="0095789A"/>
    <w:rsid w:val="009B3864"/>
    <w:rsid w:val="00A10738"/>
    <w:rsid w:val="00A81CE8"/>
    <w:rsid w:val="00A82AAC"/>
    <w:rsid w:val="00AD6E20"/>
    <w:rsid w:val="00B64F41"/>
    <w:rsid w:val="00B724FA"/>
    <w:rsid w:val="00B910F2"/>
    <w:rsid w:val="00B91C5A"/>
    <w:rsid w:val="00BB670D"/>
    <w:rsid w:val="00BC4682"/>
    <w:rsid w:val="00CA2E7F"/>
    <w:rsid w:val="00CC0871"/>
    <w:rsid w:val="00CE6DC2"/>
    <w:rsid w:val="00CF18C8"/>
    <w:rsid w:val="00D11754"/>
    <w:rsid w:val="00D26DE1"/>
    <w:rsid w:val="00E6797E"/>
    <w:rsid w:val="00FA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F28D"/>
  <w15:docId w15:val="{0CCF98CC-32A9-4279-8277-E5FF2997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uiPriority w:val="99"/>
    <w:semiHidden/>
    <w:qFormat/>
    <w:rsid w:val="00E22189"/>
    <w:rPr>
      <w:color w:val="808080"/>
    </w:rPr>
  </w:style>
  <w:style w:type="character" w:customStyle="1" w:styleId="-">
    <w:name w:val="Интернет-ссылка"/>
    <w:uiPriority w:val="99"/>
    <w:unhideWhenUsed/>
    <w:rsid w:val="00F865B3"/>
    <w:rPr>
      <w:color w:val="0000FF"/>
      <w:u w:val="single"/>
    </w:rPr>
  </w:style>
  <w:style w:type="character" w:styleId="a6">
    <w:name w:val="Unresolved Mention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styleId="a7">
    <w:name w:val="Title"/>
    <w:basedOn w:val="a"/>
    <w:next w:val="a8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  <w:lang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d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uiPriority w:val="39"/>
    <w:rsid w:val="0066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662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458</Words>
  <Characters>2982</Characters>
  <Application>Microsoft Office Word</Application>
  <DocSecurity>0</DocSecurity>
  <Lines>67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Iskander</dc:creator>
  <dc:description/>
  <cp:lastModifiedBy>sammypower96@gmail.com</cp:lastModifiedBy>
  <cp:revision>4</cp:revision>
  <dcterms:created xsi:type="dcterms:W3CDTF">2025-03-05T10:17:00Z</dcterms:created>
  <dcterms:modified xsi:type="dcterms:W3CDTF">2025-03-05T10:32:00Z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