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88" w:rsidRDefault="004F6288">
      <w:pPr>
        <w:shd w:val="clear" w:color="auto" w:fill="FFFFFF"/>
        <w:jc w:val="center"/>
        <w:rPr>
          <w:color w:val="000000"/>
        </w:rPr>
      </w:pPr>
      <w:bookmarkStart w:id="0" w:name="_GoBack"/>
      <w:bookmarkEnd w:id="0"/>
      <w:r w:rsidRPr="00102452">
        <w:rPr>
          <w:b/>
          <w:color w:val="000000"/>
        </w:rPr>
        <w:t xml:space="preserve">Зарядовые характеристики титаноцена дикарборанила по </w:t>
      </w:r>
      <w:r>
        <w:rPr>
          <w:b/>
          <w:color w:val="000000"/>
        </w:rPr>
        <w:t xml:space="preserve">методу </w:t>
      </w:r>
      <w:r>
        <w:rPr>
          <w:b/>
          <w:color w:val="000000"/>
          <w:lang w:val="en-US"/>
        </w:rPr>
        <w:t>NBO</w:t>
      </w:r>
    </w:p>
    <w:p w:rsidR="004F6288" w:rsidRDefault="004F6288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Р.В. Ла</w:t>
      </w:r>
      <w:r w:rsidRPr="006C04A4">
        <w:rPr>
          <w:b/>
          <w:i/>
          <w:color w:val="000000"/>
        </w:rPr>
        <w:t>стовка</w:t>
      </w:r>
      <w:r>
        <w:rPr>
          <w:b/>
          <w:i/>
          <w:color w:val="000000"/>
          <w:vertAlign w:val="superscript"/>
        </w:rPr>
        <w:t>1</w:t>
      </w:r>
      <w:r w:rsidRPr="006C04A4">
        <w:rPr>
          <w:b/>
          <w:i/>
          <w:color w:val="000000"/>
        </w:rPr>
        <w:t>, Г.В. Лукова</w:t>
      </w:r>
      <w:r w:rsidRPr="006C04A4">
        <w:rPr>
          <w:b/>
          <w:i/>
          <w:color w:val="000000"/>
          <w:vertAlign w:val="superscript"/>
        </w:rPr>
        <w:t>2</w:t>
      </w:r>
      <w:r w:rsidRPr="006C04A4">
        <w:rPr>
          <w:b/>
          <w:i/>
          <w:color w:val="000000"/>
        </w:rPr>
        <w:t>, А.А. Милов</w:t>
      </w:r>
      <w:r>
        <w:rPr>
          <w:b/>
          <w:i/>
          <w:color w:val="000000"/>
          <w:vertAlign w:val="superscript"/>
        </w:rPr>
        <w:t>3</w:t>
      </w:r>
    </w:p>
    <w:p w:rsidR="004F6288" w:rsidRDefault="004F628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6C04A4">
        <w:rPr>
          <w:i/>
          <w:color w:val="000000"/>
        </w:rPr>
        <w:t>1</w:t>
      </w:r>
      <w:r>
        <w:rPr>
          <w:i/>
          <w:color w:val="000000"/>
        </w:rPr>
        <w:t xml:space="preserve"> курс магистратуры</w:t>
      </w:r>
    </w:p>
    <w:p w:rsidR="004F6288" w:rsidRPr="000E334E" w:rsidRDefault="004F628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Южный федеральный</w:t>
      </w:r>
      <w:r w:rsidRPr="006C04A4">
        <w:rPr>
          <w:i/>
          <w:color w:val="000000"/>
        </w:rPr>
        <w:t xml:space="preserve"> университет, Ростов-на-Дону,</w:t>
      </w:r>
      <w:r>
        <w:rPr>
          <w:i/>
          <w:color w:val="000000"/>
        </w:rPr>
        <w:t xml:space="preserve"> Россия</w:t>
      </w:r>
    </w:p>
    <w:p w:rsidR="004F6288" w:rsidRDefault="004F6288" w:rsidP="00BF4622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Pr="00575771">
        <w:rPr>
          <w:i/>
          <w:color w:val="000000"/>
        </w:rPr>
        <w:t xml:space="preserve">Федеральный исследовательский центр проблем химической физики и медицинской химии Российской академии наук, </w:t>
      </w:r>
      <w:r>
        <w:rPr>
          <w:i/>
          <w:color w:val="000000"/>
        </w:rPr>
        <w:t>Черноголовка, Россия</w:t>
      </w:r>
    </w:p>
    <w:p w:rsidR="004F6288" w:rsidRPr="00575771" w:rsidRDefault="004F6288" w:rsidP="00575771">
      <w:pPr>
        <w:shd w:val="clear" w:color="auto" w:fill="FFFFFF"/>
        <w:jc w:val="center"/>
        <w:rPr>
          <w:i/>
          <w:color w:val="000000"/>
        </w:rPr>
      </w:pPr>
      <w:r w:rsidRPr="00575771">
        <w:rPr>
          <w:i/>
          <w:color w:val="000000"/>
          <w:vertAlign w:val="superscript"/>
        </w:rPr>
        <w:t>3</w:t>
      </w:r>
      <w:r w:rsidRPr="00575771">
        <w:rPr>
          <w:i/>
          <w:color w:val="000000"/>
        </w:rPr>
        <w:t>Федеральный исследовательский центр</w:t>
      </w:r>
      <w:r>
        <w:rPr>
          <w:i/>
          <w:color w:val="000000"/>
        </w:rPr>
        <w:t xml:space="preserve"> </w:t>
      </w:r>
      <w:r w:rsidRPr="00575771">
        <w:rPr>
          <w:i/>
          <w:color w:val="000000"/>
        </w:rPr>
        <w:t>Южный научный центр Российской Академии наук, Ростов-на-Дону</w:t>
      </w:r>
      <w:r>
        <w:rPr>
          <w:i/>
          <w:color w:val="000000"/>
        </w:rPr>
        <w:t xml:space="preserve">, </w:t>
      </w:r>
      <w:r w:rsidRPr="00575771">
        <w:rPr>
          <w:i/>
          <w:color w:val="000000"/>
        </w:rPr>
        <w:t>Россия</w:t>
      </w:r>
    </w:p>
    <w:p w:rsidR="004F6288" w:rsidRPr="00725EBE" w:rsidRDefault="004F6288">
      <w:pPr>
        <w:shd w:val="clear" w:color="auto" w:fill="FFFFFF"/>
        <w:jc w:val="center"/>
        <w:rPr>
          <w:color w:val="000000"/>
          <w:lang w:val="en-US"/>
        </w:rPr>
      </w:pPr>
      <w:r w:rsidRPr="00725EBE">
        <w:rPr>
          <w:i/>
          <w:color w:val="000000"/>
          <w:lang w:val="en-US"/>
        </w:rPr>
        <w:t>E-mail:</w:t>
      </w:r>
      <w:r w:rsidRPr="00725EBE">
        <w:rPr>
          <w:lang w:val="en-US"/>
        </w:rPr>
        <w:t xml:space="preserve"> </w:t>
      </w:r>
      <w:r w:rsidRPr="00725EBE">
        <w:rPr>
          <w:i/>
          <w:color w:val="000000"/>
          <w:u w:val="single"/>
          <w:lang w:val="en-US"/>
        </w:rPr>
        <w:t>c-si-ge@mail.ru</w:t>
      </w:r>
    </w:p>
    <w:p w:rsidR="004F6288" w:rsidRPr="009872DB" w:rsidRDefault="004F6288" w:rsidP="009872DB">
      <w:pPr>
        <w:shd w:val="clear" w:color="auto" w:fill="FFFFFF"/>
        <w:ind w:firstLine="397"/>
        <w:jc w:val="both"/>
        <w:rPr>
          <w:bCs/>
          <w:iCs/>
          <w:color w:val="000000"/>
        </w:rPr>
      </w:pPr>
      <w:r w:rsidRPr="00AE6912">
        <w:rPr>
          <w:bCs/>
          <w:iCs/>
          <w:color w:val="000000"/>
        </w:rPr>
        <w:t xml:space="preserve">Определение заселенностей орбиталей и зарядовых характеристик координационных соединений – ключевая задача в </w:t>
      </w:r>
      <w:r>
        <w:rPr>
          <w:bCs/>
          <w:iCs/>
          <w:color w:val="000000"/>
        </w:rPr>
        <w:t xml:space="preserve">металлокомплексном катализе, молекулярной </w:t>
      </w:r>
      <w:r w:rsidRPr="00AE6912">
        <w:rPr>
          <w:bCs/>
          <w:iCs/>
          <w:color w:val="000000"/>
        </w:rPr>
        <w:t>фотонике</w:t>
      </w:r>
      <w:r>
        <w:rPr>
          <w:bCs/>
          <w:iCs/>
          <w:color w:val="000000"/>
        </w:rPr>
        <w:t xml:space="preserve"> и т.д.</w:t>
      </w:r>
      <w:r w:rsidRPr="00AE6912">
        <w:rPr>
          <w:bCs/>
          <w:iCs/>
          <w:color w:val="000000"/>
        </w:rPr>
        <w:t xml:space="preserve">, которая не может быть решена экспериментально. </w:t>
      </w:r>
      <w:r w:rsidRPr="009872DB">
        <w:rPr>
          <w:bCs/>
          <w:iCs/>
          <w:color w:val="000000"/>
        </w:rPr>
        <w:t>Металлоцены подгруппы титана − металлоорганически</w:t>
      </w:r>
      <w:r>
        <w:rPr>
          <w:bCs/>
          <w:iCs/>
          <w:color w:val="000000"/>
        </w:rPr>
        <w:t>е</w:t>
      </w:r>
      <w:r w:rsidRPr="009872DB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комплексы</w:t>
      </w:r>
      <w:r w:rsidRPr="009872DB">
        <w:rPr>
          <w:bCs/>
          <w:iCs/>
          <w:color w:val="000000"/>
        </w:rPr>
        <w:t>, обладающи</w:t>
      </w:r>
      <w:r>
        <w:rPr>
          <w:bCs/>
          <w:iCs/>
          <w:color w:val="000000"/>
        </w:rPr>
        <w:t>е</w:t>
      </w:r>
      <w:r w:rsidRPr="009872DB">
        <w:rPr>
          <w:bCs/>
          <w:iCs/>
          <w:color w:val="000000"/>
        </w:rPr>
        <w:t xml:space="preserve"> самыми редкими и наименее изученными состояниями с переносом заряда с лиганда на металл (ПЗЛМ), в том числе уникальными фосфоресцентными</w:t>
      </w:r>
      <w:r w:rsidRPr="009872DB">
        <w:rPr>
          <w:b/>
          <w:bCs/>
          <w:iCs/>
          <w:color w:val="000000"/>
        </w:rPr>
        <w:t xml:space="preserve"> </w:t>
      </w:r>
      <w:r w:rsidRPr="009872DB">
        <w:rPr>
          <w:bCs/>
          <w:iCs/>
          <w:color w:val="000000"/>
          <w:vertAlign w:val="superscript"/>
        </w:rPr>
        <w:t>3</w:t>
      </w:r>
      <w:r w:rsidRPr="009872DB">
        <w:rPr>
          <w:bCs/>
          <w:iCs/>
          <w:color w:val="000000"/>
        </w:rPr>
        <w:t>ПЗЛМ [1</w:t>
      </w:r>
      <w:r>
        <w:rPr>
          <w:bCs/>
          <w:iCs/>
          <w:color w:val="000000"/>
        </w:rPr>
        <w:t>, 2</w:t>
      </w:r>
      <w:r w:rsidRPr="009872DB">
        <w:rPr>
          <w:bCs/>
          <w:iCs/>
          <w:color w:val="000000"/>
        </w:rPr>
        <w:t>].</w:t>
      </w:r>
      <w:r>
        <w:rPr>
          <w:bCs/>
          <w:iCs/>
          <w:color w:val="000000"/>
        </w:rPr>
        <w:t xml:space="preserve"> </w:t>
      </w:r>
      <w:r w:rsidRPr="009872DB">
        <w:rPr>
          <w:bCs/>
          <w:iCs/>
          <w:color w:val="000000"/>
        </w:rPr>
        <w:t xml:space="preserve">В настоящей работе в приближении естественного популяционного анализа (NPA, или в общем виде − </w:t>
      </w:r>
      <w:r w:rsidRPr="009872DB">
        <w:rPr>
          <w:bCs/>
          <w:iCs/>
          <w:color w:val="000000"/>
          <w:lang w:val="en-US"/>
        </w:rPr>
        <w:t>NBO</w:t>
      </w:r>
      <w:r w:rsidRPr="009872DB">
        <w:rPr>
          <w:bCs/>
          <w:iCs/>
          <w:color w:val="000000"/>
        </w:rPr>
        <w:t>) систематически</w:t>
      </w:r>
      <w:r>
        <w:rPr>
          <w:bCs/>
          <w:iCs/>
          <w:color w:val="000000"/>
        </w:rPr>
        <w:t xml:space="preserve"> </w:t>
      </w:r>
      <w:r w:rsidRPr="009872DB">
        <w:rPr>
          <w:bCs/>
          <w:iCs/>
          <w:color w:val="000000"/>
        </w:rPr>
        <w:t xml:space="preserve">оценены заселенности орбиталей и атомные заряды на примере титаноцена дикарборанила </w:t>
      </w:r>
      <w:r w:rsidRPr="009872DB">
        <w:rPr>
          <w:bCs/>
          <w:iCs/>
          <w:color w:val="000000"/>
          <w:lang w:val="en-US"/>
        </w:rPr>
        <w:t>Ti</w:t>
      </w:r>
      <w:r w:rsidRPr="009872DB">
        <w:rPr>
          <w:bCs/>
          <w:iCs/>
          <w:color w:val="000000"/>
        </w:rPr>
        <w:t>(η</w:t>
      </w:r>
      <w:r w:rsidRPr="009872DB">
        <w:rPr>
          <w:bCs/>
          <w:iCs/>
          <w:color w:val="000000"/>
          <w:vertAlign w:val="superscript"/>
        </w:rPr>
        <w:t>5</w:t>
      </w:r>
      <w:r w:rsidRPr="009872DB">
        <w:rPr>
          <w:bCs/>
          <w:iCs/>
          <w:color w:val="000000"/>
        </w:rPr>
        <w:t>:η</w:t>
      </w:r>
      <w:r w:rsidRPr="009872DB">
        <w:rPr>
          <w:bCs/>
          <w:iCs/>
          <w:color w:val="000000"/>
          <w:vertAlign w:val="superscript"/>
        </w:rPr>
        <w:t>1</w:t>
      </w:r>
      <w:r w:rsidRPr="009872DB">
        <w:rPr>
          <w:bCs/>
          <w:iCs/>
          <w:color w:val="000000"/>
        </w:rPr>
        <w:t>-</w:t>
      </w:r>
      <w:r w:rsidRPr="009872DB">
        <w:rPr>
          <w:bCs/>
          <w:iCs/>
          <w:color w:val="000000"/>
          <w:lang w:val="en-US"/>
        </w:rPr>
        <w:t>CpCMe</w:t>
      </w:r>
      <w:r w:rsidRPr="009872DB">
        <w:rPr>
          <w:bCs/>
          <w:iCs/>
          <w:color w:val="000000"/>
          <w:vertAlign w:val="subscript"/>
        </w:rPr>
        <w:t>2</w:t>
      </w:r>
      <w:r w:rsidRPr="009872DB">
        <w:rPr>
          <w:bCs/>
          <w:iCs/>
          <w:color w:val="000000"/>
          <w:lang w:val="en-US"/>
        </w:rPr>
        <w:t>CB</w:t>
      </w:r>
      <w:r w:rsidRPr="009872DB">
        <w:rPr>
          <w:bCs/>
          <w:iCs/>
          <w:color w:val="000000"/>
          <w:vertAlign w:val="subscript"/>
        </w:rPr>
        <w:t>10</w:t>
      </w:r>
      <w:r w:rsidRPr="009872DB">
        <w:rPr>
          <w:bCs/>
          <w:iCs/>
          <w:color w:val="000000"/>
          <w:lang w:val="en-US"/>
        </w:rPr>
        <w:t>H</w:t>
      </w:r>
      <w:r w:rsidRPr="009872DB">
        <w:rPr>
          <w:bCs/>
          <w:iCs/>
          <w:color w:val="000000"/>
          <w:vertAlign w:val="subscript"/>
        </w:rPr>
        <w:t>10</w:t>
      </w:r>
      <w:r w:rsidRPr="009872DB">
        <w:rPr>
          <w:bCs/>
          <w:iCs/>
          <w:color w:val="000000"/>
          <w:lang w:val="en-US"/>
        </w:rPr>
        <w:t>C</w:t>
      </w:r>
      <w:r w:rsidRPr="009872DB">
        <w:rPr>
          <w:bCs/>
          <w:iCs/>
          <w:color w:val="000000"/>
        </w:rPr>
        <w:t>)</w:t>
      </w:r>
      <w:r w:rsidRPr="009872DB">
        <w:rPr>
          <w:bCs/>
          <w:iCs/>
          <w:color w:val="000000"/>
          <w:vertAlign w:val="subscript"/>
        </w:rPr>
        <w:t>2</w:t>
      </w:r>
      <w:r w:rsidRPr="009872DB">
        <w:rPr>
          <w:bCs/>
          <w:iCs/>
          <w:color w:val="000000"/>
        </w:rPr>
        <w:t>, обладающего уникальными излучательными состояниями</w:t>
      </w:r>
      <w:r>
        <w:rPr>
          <w:bCs/>
          <w:iCs/>
          <w:color w:val="000000"/>
        </w:rPr>
        <w:t xml:space="preserve"> ПЗЛМ. </w:t>
      </w:r>
    </w:p>
    <w:p w:rsidR="004F6288" w:rsidRDefault="004F6288" w:rsidP="00E46192">
      <w:pPr>
        <w:shd w:val="clear" w:color="auto" w:fill="FFFFFF"/>
        <w:ind w:firstLine="397"/>
        <w:jc w:val="both"/>
        <w:rPr>
          <w:color w:val="000000"/>
        </w:rPr>
      </w:pPr>
      <w:r>
        <w:rPr>
          <w:bCs/>
          <w:iCs/>
          <w:color w:val="000000"/>
        </w:rPr>
        <w:t>Электрический дипольный момент</w:t>
      </w:r>
      <w:r w:rsidRPr="00F86A8F">
        <w:rPr>
          <w:bCs/>
          <w:color w:val="000000"/>
        </w:rPr>
        <w:t xml:space="preserve"> </w:t>
      </w:r>
      <w:r w:rsidRPr="00F86A8F">
        <w:rPr>
          <w:bCs/>
          <w:iCs/>
          <w:color w:val="000000"/>
          <w:lang w:val="en-US"/>
        </w:rPr>
        <w:t>Ti</w:t>
      </w:r>
      <w:r w:rsidRPr="00F86A8F">
        <w:rPr>
          <w:bCs/>
          <w:iCs/>
          <w:color w:val="000000"/>
        </w:rPr>
        <w:t>(η</w:t>
      </w:r>
      <w:r w:rsidRPr="00F86A8F">
        <w:rPr>
          <w:bCs/>
          <w:iCs/>
          <w:color w:val="000000"/>
          <w:vertAlign w:val="superscript"/>
        </w:rPr>
        <w:t>5</w:t>
      </w:r>
      <w:r w:rsidRPr="00F86A8F">
        <w:rPr>
          <w:bCs/>
          <w:iCs/>
          <w:color w:val="000000"/>
        </w:rPr>
        <w:t>:η</w:t>
      </w:r>
      <w:r w:rsidRPr="00F86A8F">
        <w:rPr>
          <w:bCs/>
          <w:iCs/>
          <w:color w:val="000000"/>
          <w:vertAlign w:val="superscript"/>
        </w:rPr>
        <w:t>1</w:t>
      </w:r>
      <w:r w:rsidRPr="00F86A8F">
        <w:rPr>
          <w:bCs/>
          <w:iCs/>
          <w:color w:val="000000"/>
        </w:rPr>
        <w:t>-</w:t>
      </w:r>
      <w:r w:rsidRPr="00F86A8F">
        <w:rPr>
          <w:bCs/>
          <w:iCs/>
          <w:color w:val="000000"/>
          <w:lang w:val="en-US"/>
        </w:rPr>
        <w:t>CpCMe</w:t>
      </w:r>
      <w:r w:rsidRPr="00F86A8F">
        <w:rPr>
          <w:bCs/>
          <w:iCs/>
          <w:color w:val="000000"/>
          <w:vertAlign w:val="subscript"/>
        </w:rPr>
        <w:t>2</w:t>
      </w:r>
      <w:r w:rsidRPr="00F86A8F">
        <w:rPr>
          <w:bCs/>
          <w:iCs/>
          <w:color w:val="000000"/>
          <w:lang w:val="en-US"/>
        </w:rPr>
        <w:t>CB</w:t>
      </w:r>
      <w:r w:rsidRPr="00F86A8F">
        <w:rPr>
          <w:bCs/>
          <w:iCs/>
          <w:color w:val="000000"/>
          <w:vertAlign w:val="subscript"/>
        </w:rPr>
        <w:t>10</w:t>
      </w:r>
      <w:r w:rsidRPr="00F86A8F">
        <w:rPr>
          <w:bCs/>
          <w:iCs/>
          <w:color w:val="000000"/>
          <w:lang w:val="en-US"/>
        </w:rPr>
        <w:t>H</w:t>
      </w:r>
      <w:r w:rsidRPr="00F86A8F">
        <w:rPr>
          <w:bCs/>
          <w:iCs/>
          <w:color w:val="000000"/>
          <w:vertAlign w:val="subscript"/>
        </w:rPr>
        <w:t>10</w:t>
      </w:r>
      <w:r w:rsidRPr="00F86A8F">
        <w:rPr>
          <w:bCs/>
          <w:iCs/>
          <w:color w:val="000000"/>
          <w:lang w:val="en-US"/>
        </w:rPr>
        <w:t>C</w:t>
      </w:r>
      <w:r w:rsidRPr="00F86A8F">
        <w:rPr>
          <w:bCs/>
          <w:iCs/>
          <w:color w:val="000000"/>
        </w:rPr>
        <w:t>)</w:t>
      </w:r>
      <w:r w:rsidRPr="00F86A8F">
        <w:rPr>
          <w:bCs/>
          <w:iCs/>
          <w:color w:val="000000"/>
          <w:vertAlign w:val="subscript"/>
        </w:rPr>
        <w:t>2</w:t>
      </w:r>
      <w:r w:rsidRPr="00F86A8F">
        <w:rPr>
          <w:bCs/>
          <w:iCs/>
          <w:color w:val="000000"/>
        </w:rPr>
        <w:t>, полученн</w:t>
      </w:r>
      <w:r>
        <w:rPr>
          <w:bCs/>
          <w:iCs/>
          <w:color w:val="000000"/>
        </w:rPr>
        <w:t>ый</w:t>
      </w:r>
      <w:r w:rsidRPr="00F86A8F">
        <w:rPr>
          <w:bCs/>
          <w:iCs/>
          <w:color w:val="000000"/>
        </w:rPr>
        <w:t xml:space="preserve"> разными расчетными методами, находится в диапазоне 10–1</w:t>
      </w:r>
      <w:r>
        <w:rPr>
          <w:bCs/>
          <w:iCs/>
          <w:color w:val="000000"/>
        </w:rPr>
        <w:t>2</w:t>
      </w:r>
      <w:r w:rsidRPr="00F86A8F">
        <w:rPr>
          <w:bCs/>
          <w:iCs/>
          <w:color w:val="000000"/>
        </w:rPr>
        <w:t xml:space="preserve"> Дебай, </w:t>
      </w:r>
      <w:r>
        <w:rPr>
          <w:bCs/>
          <w:iCs/>
          <w:color w:val="000000"/>
        </w:rPr>
        <w:t>это</w:t>
      </w:r>
      <w:r w:rsidRPr="00F86A8F">
        <w:rPr>
          <w:bCs/>
          <w:iCs/>
          <w:color w:val="000000"/>
        </w:rPr>
        <w:t xml:space="preserve"> соответствует полярной молекуле и не характерно для металлоорганических </w:t>
      </w:r>
      <w:r>
        <w:rPr>
          <w:bCs/>
          <w:iCs/>
          <w:color w:val="000000"/>
        </w:rPr>
        <w:t>соединений</w:t>
      </w:r>
      <w:r w:rsidRPr="00F86A8F">
        <w:rPr>
          <w:bCs/>
          <w:iCs/>
          <w:color w:val="000000"/>
        </w:rPr>
        <w:t>.</w:t>
      </w:r>
      <w:r>
        <w:rPr>
          <w:bCs/>
          <w:iCs/>
          <w:color w:val="000000"/>
        </w:rPr>
        <w:t xml:space="preserve"> </w:t>
      </w:r>
      <w:r w:rsidRPr="002C1D05">
        <w:rPr>
          <w:bCs/>
          <w:iCs/>
          <w:color w:val="000000"/>
        </w:rPr>
        <w:t xml:space="preserve">В табл. 1 приведены результаты расчетов атомных зарядов титаноцена в приближении </w:t>
      </w:r>
      <w:r w:rsidRPr="002C1D05">
        <w:rPr>
          <w:bCs/>
          <w:iCs/>
          <w:color w:val="000000"/>
          <w:lang w:val="en-US"/>
        </w:rPr>
        <w:t>NBO</w:t>
      </w:r>
      <w:r w:rsidRPr="002C1D05">
        <w:rPr>
          <w:bCs/>
          <w:iCs/>
          <w:color w:val="000000"/>
        </w:rPr>
        <w:t xml:space="preserve"> с использованием популярных методов</w:t>
      </w:r>
      <w:r w:rsidRPr="002C1D05">
        <w:rPr>
          <w:bCs/>
          <w:i/>
          <w:iCs/>
          <w:color w:val="000000"/>
        </w:rPr>
        <w:t xml:space="preserve"> </w:t>
      </w:r>
      <w:r w:rsidRPr="00910425">
        <w:rPr>
          <w:bCs/>
          <w:iCs/>
          <w:color w:val="000000"/>
          <w:lang w:val="en-US"/>
        </w:rPr>
        <w:t>ab</w:t>
      </w:r>
      <w:r w:rsidRPr="00910425">
        <w:rPr>
          <w:bCs/>
          <w:iCs/>
          <w:color w:val="000000"/>
        </w:rPr>
        <w:t xml:space="preserve"> </w:t>
      </w:r>
      <w:r w:rsidRPr="00910425">
        <w:rPr>
          <w:bCs/>
          <w:iCs/>
          <w:color w:val="000000"/>
          <w:lang w:val="en-US"/>
        </w:rPr>
        <w:t>initio</w:t>
      </w:r>
      <w:r w:rsidRPr="002C1D05">
        <w:rPr>
          <w:bCs/>
          <w:i/>
          <w:iCs/>
          <w:color w:val="000000"/>
        </w:rPr>
        <w:t xml:space="preserve"> </w:t>
      </w:r>
      <w:r w:rsidRPr="002C1D05">
        <w:rPr>
          <w:bCs/>
          <w:iCs/>
          <w:color w:val="000000"/>
        </w:rPr>
        <w:t>Хартри-Фока (</w:t>
      </w:r>
      <w:r w:rsidRPr="002C1D05">
        <w:rPr>
          <w:bCs/>
          <w:iCs/>
          <w:color w:val="000000"/>
          <w:lang w:val="en-US"/>
        </w:rPr>
        <w:t>HF</w:t>
      </w:r>
      <w:r w:rsidRPr="002C1D05">
        <w:rPr>
          <w:bCs/>
          <w:iCs/>
          <w:color w:val="000000"/>
        </w:rPr>
        <w:t>) и теории функционала плотности</w:t>
      </w:r>
      <w:r>
        <w:rPr>
          <w:bCs/>
          <w:iCs/>
          <w:color w:val="000000"/>
        </w:rPr>
        <w:t xml:space="preserve">. </w:t>
      </w:r>
    </w:p>
    <w:p w:rsidR="004F6288" w:rsidRDefault="004F6288" w:rsidP="00E46192">
      <w:pPr>
        <w:shd w:val="clear" w:color="auto" w:fill="FFFFFF"/>
      </w:pPr>
      <w:r w:rsidRPr="005749B6">
        <w:t xml:space="preserve">Таблица 1. </w:t>
      </w:r>
      <w:r>
        <w:t>Дипольный момент и з</w:t>
      </w:r>
      <w:r w:rsidRPr="00880634">
        <w:t xml:space="preserve">арядовые характеристики </w:t>
      </w:r>
      <w:r w:rsidRPr="00F65F3E">
        <w:rPr>
          <w:bCs/>
          <w:lang w:val="en-US"/>
        </w:rPr>
        <w:t>Ti</w:t>
      </w:r>
      <w:r w:rsidRPr="00F65F3E">
        <w:rPr>
          <w:bCs/>
          <w:iCs/>
        </w:rPr>
        <w:t>(η</w:t>
      </w:r>
      <w:r w:rsidRPr="00F65F3E">
        <w:rPr>
          <w:bCs/>
          <w:iCs/>
          <w:vertAlign w:val="superscript"/>
        </w:rPr>
        <w:t>5</w:t>
      </w:r>
      <w:r w:rsidRPr="00F65F3E">
        <w:rPr>
          <w:bCs/>
          <w:iCs/>
        </w:rPr>
        <w:t>:η</w:t>
      </w:r>
      <w:r w:rsidRPr="00F65F3E">
        <w:rPr>
          <w:bCs/>
          <w:iCs/>
          <w:vertAlign w:val="superscript"/>
        </w:rPr>
        <w:t>1</w:t>
      </w:r>
      <w:r w:rsidRPr="00F65F3E">
        <w:rPr>
          <w:bCs/>
          <w:iCs/>
        </w:rPr>
        <w:t>-</w:t>
      </w:r>
      <w:r w:rsidRPr="00F65F3E">
        <w:rPr>
          <w:bCs/>
          <w:iCs/>
          <w:lang w:val="en-US"/>
        </w:rPr>
        <w:t>CpCMe</w:t>
      </w:r>
      <w:r w:rsidRPr="00F65F3E">
        <w:rPr>
          <w:bCs/>
          <w:iCs/>
          <w:vertAlign w:val="subscript"/>
        </w:rPr>
        <w:t>2</w:t>
      </w:r>
      <w:r w:rsidRPr="00F65F3E">
        <w:rPr>
          <w:bCs/>
          <w:iCs/>
          <w:lang w:val="en-US"/>
        </w:rPr>
        <w:t>CB</w:t>
      </w:r>
      <w:r w:rsidRPr="00F65F3E">
        <w:rPr>
          <w:bCs/>
          <w:iCs/>
          <w:vertAlign w:val="subscript"/>
        </w:rPr>
        <w:t>10</w:t>
      </w:r>
      <w:r w:rsidRPr="00F65F3E">
        <w:rPr>
          <w:bCs/>
          <w:iCs/>
          <w:lang w:val="en-US"/>
        </w:rPr>
        <w:t>H</w:t>
      </w:r>
      <w:r w:rsidRPr="00F65F3E">
        <w:rPr>
          <w:bCs/>
          <w:iCs/>
          <w:vertAlign w:val="subscript"/>
        </w:rPr>
        <w:t>10</w:t>
      </w:r>
      <w:r w:rsidRPr="00F65F3E">
        <w:rPr>
          <w:bCs/>
          <w:iCs/>
          <w:lang w:val="en-US"/>
        </w:rPr>
        <w:t>C</w:t>
      </w:r>
      <w:r w:rsidRPr="00F65F3E">
        <w:rPr>
          <w:bCs/>
          <w:iCs/>
        </w:rPr>
        <w:t>)</w:t>
      </w:r>
      <w:r w:rsidRPr="00F65F3E">
        <w:rPr>
          <w:bCs/>
          <w:iCs/>
          <w:vertAlign w:val="subscript"/>
        </w:rPr>
        <w:t>2</w:t>
      </w:r>
      <w:r w:rsidRPr="0088063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004"/>
        <w:gridCol w:w="1004"/>
        <w:gridCol w:w="1030"/>
        <w:gridCol w:w="1219"/>
      </w:tblGrid>
      <w:tr w:rsidR="004F6288" w:rsidRPr="00FC4F87" w:rsidTr="005F02A7">
        <w:tc>
          <w:tcPr>
            <w:tcW w:w="3085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</w:rPr>
            </w:pPr>
            <w:r w:rsidRPr="00E46192">
              <w:rPr>
                <w:sz w:val="22"/>
                <w:szCs w:val="22"/>
              </w:rPr>
              <w:t>Метод</w:t>
            </w:r>
          </w:p>
        </w:tc>
        <w:tc>
          <w:tcPr>
            <w:tcW w:w="1276" w:type="dxa"/>
          </w:tcPr>
          <w:p w:rsidR="004F6288" w:rsidRPr="00E46192" w:rsidRDefault="004F6288" w:rsidP="005F02A7">
            <w:pPr>
              <w:ind w:right="-67" w:hanging="108"/>
              <w:jc w:val="center"/>
              <w:rPr>
                <w:sz w:val="22"/>
                <w:szCs w:val="22"/>
              </w:rPr>
            </w:pPr>
            <w:r w:rsidRPr="00E46192">
              <w:rPr>
                <w:i/>
                <w:sz w:val="22"/>
                <w:szCs w:val="22"/>
                <w:lang w:val="en-US"/>
              </w:rPr>
              <w:t>μ</w:t>
            </w:r>
            <w:r w:rsidRPr="00E46192">
              <w:rPr>
                <w:sz w:val="22"/>
                <w:szCs w:val="22"/>
              </w:rPr>
              <w:t xml:space="preserve"> (Дебай)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ind w:right="-67" w:hanging="108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i/>
                <w:sz w:val="22"/>
                <w:szCs w:val="22"/>
                <w:lang w:val="en-US"/>
              </w:rPr>
              <w:t>q</w:t>
            </w:r>
            <w:r w:rsidRPr="00E46192">
              <w:rPr>
                <w:sz w:val="22"/>
                <w:szCs w:val="22"/>
              </w:rPr>
              <w:t>(</w:t>
            </w:r>
            <w:r w:rsidRPr="00E46192">
              <w:rPr>
                <w:sz w:val="22"/>
                <w:szCs w:val="22"/>
                <w:lang w:val="en-US"/>
              </w:rPr>
              <w:t>Ti)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ind w:right="-108" w:hanging="19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i/>
                <w:sz w:val="22"/>
                <w:szCs w:val="22"/>
                <w:lang w:val="en-US"/>
              </w:rPr>
              <w:t>q</w:t>
            </w:r>
            <w:r w:rsidRPr="00E46192">
              <w:rPr>
                <w:sz w:val="22"/>
                <w:szCs w:val="22"/>
                <w:lang w:val="en-US"/>
              </w:rPr>
              <w:t>(Cp)</w:t>
            </w:r>
          </w:p>
        </w:tc>
        <w:tc>
          <w:tcPr>
            <w:tcW w:w="1030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i/>
                <w:sz w:val="22"/>
                <w:szCs w:val="22"/>
                <w:lang w:val="en-US"/>
              </w:rPr>
              <w:t>q</w:t>
            </w:r>
            <w:r w:rsidRPr="00E46192">
              <w:rPr>
                <w:sz w:val="22"/>
                <w:szCs w:val="22"/>
                <w:lang w:val="en-US"/>
              </w:rPr>
              <w:t>(Carb)</w:t>
            </w:r>
          </w:p>
        </w:tc>
        <w:tc>
          <w:tcPr>
            <w:tcW w:w="1219" w:type="dxa"/>
          </w:tcPr>
          <w:p w:rsidR="004F6288" w:rsidRPr="00E46192" w:rsidRDefault="004F6288" w:rsidP="005F02A7">
            <w:pPr>
              <w:ind w:left="-75" w:right="-166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i/>
                <w:sz w:val="22"/>
                <w:szCs w:val="22"/>
                <w:lang w:val="en-US"/>
              </w:rPr>
              <w:t>q</w:t>
            </w:r>
            <w:r w:rsidRPr="00E46192">
              <w:rPr>
                <w:sz w:val="22"/>
                <w:szCs w:val="22"/>
              </w:rPr>
              <w:t>(&gt;</w:t>
            </w:r>
            <w:r w:rsidRPr="00E46192">
              <w:rPr>
                <w:sz w:val="22"/>
                <w:szCs w:val="22"/>
                <w:lang w:val="en-US"/>
              </w:rPr>
              <w:t>CMe</w:t>
            </w:r>
            <w:r w:rsidRPr="00E46192">
              <w:rPr>
                <w:sz w:val="22"/>
                <w:szCs w:val="22"/>
                <w:vertAlign w:val="subscript"/>
              </w:rPr>
              <w:t>2</w:t>
            </w:r>
            <w:r w:rsidRPr="00E46192">
              <w:rPr>
                <w:sz w:val="22"/>
                <w:szCs w:val="22"/>
              </w:rPr>
              <w:t>)</w:t>
            </w:r>
          </w:p>
        </w:tc>
      </w:tr>
      <w:tr w:rsidR="004F6288" w:rsidRPr="00FC4F87" w:rsidTr="005F02A7">
        <w:tc>
          <w:tcPr>
            <w:tcW w:w="3085" w:type="dxa"/>
          </w:tcPr>
          <w:p w:rsidR="004F6288" w:rsidRPr="00E46192" w:rsidRDefault="004F6288" w:rsidP="005F02A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B3LYP/6–31G**</w:t>
            </w:r>
          </w:p>
        </w:tc>
        <w:tc>
          <w:tcPr>
            <w:tcW w:w="1276" w:type="dxa"/>
          </w:tcPr>
          <w:p w:rsidR="004F6288" w:rsidRPr="00E46192" w:rsidRDefault="004F6288" w:rsidP="005F02A7">
            <w:pPr>
              <w:ind w:right="-67" w:hanging="108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10.740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ind w:right="-67" w:hanging="108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+1.732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ind w:right="-108" w:hanging="19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–0.244</w:t>
            </w:r>
          </w:p>
        </w:tc>
        <w:tc>
          <w:tcPr>
            <w:tcW w:w="1030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–0.733</w:t>
            </w:r>
          </w:p>
        </w:tc>
        <w:tc>
          <w:tcPr>
            <w:tcW w:w="1219" w:type="dxa"/>
          </w:tcPr>
          <w:p w:rsidR="004F6288" w:rsidRPr="00E46192" w:rsidRDefault="004F6288" w:rsidP="005F02A7">
            <w:pPr>
              <w:ind w:left="-75" w:right="-166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+0.110</w:t>
            </w:r>
          </w:p>
        </w:tc>
      </w:tr>
      <w:tr w:rsidR="004F6288" w:rsidRPr="00FC4F87" w:rsidTr="005F02A7">
        <w:tc>
          <w:tcPr>
            <w:tcW w:w="3085" w:type="dxa"/>
          </w:tcPr>
          <w:p w:rsidR="004F6288" w:rsidRPr="00E46192" w:rsidRDefault="004F6288" w:rsidP="005F02A7">
            <w:pPr>
              <w:jc w:val="center"/>
              <w:rPr>
                <w:b/>
                <w:sz w:val="22"/>
                <w:szCs w:val="22"/>
              </w:rPr>
            </w:pPr>
            <w:r w:rsidRPr="00E46192">
              <w:rPr>
                <w:sz w:val="22"/>
                <w:szCs w:val="22"/>
                <w:lang w:val="en-US"/>
              </w:rPr>
              <w:t>B3LYP/6–311G**</w:t>
            </w:r>
          </w:p>
        </w:tc>
        <w:tc>
          <w:tcPr>
            <w:tcW w:w="1276" w:type="dxa"/>
          </w:tcPr>
          <w:p w:rsidR="004F6288" w:rsidRPr="00E46192" w:rsidRDefault="004F6288" w:rsidP="005F02A7">
            <w:pPr>
              <w:ind w:right="-50" w:hanging="107"/>
              <w:jc w:val="center"/>
              <w:rPr>
                <w:sz w:val="22"/>
                <w:szCs w:val="22"/>
              </w:rPr>
            </w:pPr>
            <w:r w:rsidRPr="00E46192">
              <w:rPr>
                <w:sz w:val="22"/>
                <w:szCs w:val="22"/>
                <w:lang w:val="en-US"/>
              </w:rPr>
              <w:t>10.641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ind w:right="-50" w:hanging="107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+1.501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ind w:right="-50" w:hanging="107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–0.146</w:t>
            </w:r>
          </w:p>
        </w:tc>
        <w:tc>
          <w:tcPr>
            <w:tcW w:w="1030" w:type="dxa"/>
          </w:tcPr>
          <w:p w:rsidR="004F6288" w:rsidRPr="00E46192" w:rsidRDefault="004F6288" w:rsidP="005F02A7">
            <w:pPr>
              <w:ind w:right="-50" w:hanging="107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–0.702</w:t>
            </w:r>
          </w:p>
        </w:tc>
        <w:tc>
          <w:tcPr>
            <w:tcW w:w="1219" w:type="dxa"/>
          </w:tcPr>
          <w:p w:rsidR="004F6288" w:rsidRPr="00E46192" w:rsidRDefault="004F6288" w:rsidP="005F02A7">
            <w:pPr>
              <w:ind w:right="-50" w:hanging="107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+0.098</w:t>
            </w:r>
          </w:p>
        </w:tc>
      </w:tr>
      <w:tr w:rsidR="004F6288" w:rsidRPr="00FC4F87" w:rsidTr="005F02A7">
        <w:tc>
          <w:tcPr>
            <w:tcW w:w="3085" w:type="dxa"/>
          </w:tcPr>
          <w:p w:rsidR="004F6288" w:rsidRPr="00E46192" w:rsidRDefault="004F6288" w:rsidP="005F02A7">
            <w:pPr>
              <w:jc w:val="center"/>
              <w:rPr>
                <w:b/>
                <w:sz w:val="22"/>
                <w:szCs w:val="22"/>
              </w:rPr>
            </w:pPr>
            <w:r w:rsidRPr="00E46192">
              <w:rPr>
                <w:sz w:val="22"/>
                <w:szCs w:val="22"/>
                <w:lang w:val="en-US"/>
              </w:rPr>
              <w:t>B3LYP/6–311++G**</w:t>
            </w:r>
          </w:p>
        </w:tc>
        <w:tc>
          <w:tcPr>
            <w:tcW w:w="1276" w:type="dxa"/>
          </w:tcPr>
          <w:p w:rsidR="004F6288" w:rsidRPr="00E46192" w:rsidRDefault="004F6288" w:rsidP="005F02A7">
            <w:pPr>
              <w:ind w:right="-50" w:hanging="107"/>
              <w:jc w:val="center"/>
              <w:rPr>
                <w:sz w:val="22"/>
                <w:szCs w:val="22"/>
              </w:rPr>
            </w:pPr>
            <w:r w:rsidRPr="00E46192">
              <w:rPr>
                <w:sz w:val="22"/>
                <w:szCs w:val="22"/>
                <w:lang w:val="en-US"/>
              </w:rPr>
              <w:t>10.642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ind w:right="-50" w:hanging="107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+1.643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ind w:right="-50" w:hanging="107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–0.219</w:t>
            </w:r>
          </w:p>
        </w:tc>
        <w:tc>
          <w:tcPr>
            <w:tcW w:w="1030" w:type="dxa"/>
          </w:tcPr>
          <w:p w:rsidR="004F6288" w:rsidRPr="00E46192" w:rsidRDefault="004F6288" w:rsidP="005F02A7">
            <w:pPr>
              <w:ind w:right="-50" w:hanging="107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–0.723</w:t>
            </w:r>
          </w:p>
        </w:tc>
        <w:tc>
          <w:tcPr>
            <w:tcW w:w="1219" w:type="dxa"/>
          </w:tcPr>
          <w:p w:rsidR="004F6288" w:rsidRPr="00E46192" w:rsidRDefault="004F6288" w:rsidP="005F02A7">
            <w:pPr>
              <w:ind w:right="-50" w:hanging="107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+0.120</w:t>
            </w:r>
          </w:p>
        </w:tc>
      </w:tr>
      <w:tr w:rsidR="004F6288" w:rsidRPr="00FC4F87" w:rsidTr="005F02A7">
        <w:tc>
          <w:tcPr>
            <w:tcW w:w="3085" w:type="dxa"/>
          </w:tcPr>
          <w:p w:rsidR="004F6288" w:rsidRPr="00E46192" w:rsidRDefault="004F6288" w:rsidP="005F02A7">
            <w:pPr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CAM–B3LYP/6–31G**</w:t>
            </w:r>
          </w:p>
        </w:tc>
        <w:tc>
          <w:tcPr>
            <w:tcW w:w="1276" w:type="dxa"/>
          </w:tcPr>
          <w:p w:rsidR="004F6288" w:rsidRPr="00E46192" w:rsidRDefault="004F6288" w:rsidP="005F02A7">
            <w:pPr>
              <w:ind w:right="-67" w:hanging="108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10.982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+1.747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–0.241</w:t>
            </w:r>
          </w:p>
        </w:tc>
        <w:tc>
          <w:tcPr>
            <w:tcW w:w="1030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–0.745</w:t>
            </w:r>
          </w:p>
        </w:tc>
        <w:tc>
          <w:tcPr>
            <w:tcW w:w="1219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+0.111</w:t>
            </w:r>
          </w:p>
        </w:tc>
      </w:tr>
      <w:tr w:rsidR="004F6288" w:rsidRPr="00FC4F87" w:rsidTr="005F02A7">
        <w:tc>
          <w:tcPr>
            <w:tcW w:w="3085" w:type="dxa"/>
          </w:tcPr>
          <w:p w:rsidR="004F6288" w:rsidRPr="00E46192" w:rsidRDefault="004F6288" w:rsidP="005F02A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CAM–B3LYP/6–311G**</w:t>
            </w:r>
          </w:p>
        </w:tc>
        <w:tc>
          <w:tcPr>
            <w:tcW w:w="1276" w:type="dxa"/>
          </w:tcPr>
          <w:p w:rsidR="004F6288" w:rsidRPr="00E46192" w:rsidRDefault="004F6288" w:rsidP="005F02A7">
            <w:pPr>
              <w:ind w:right="-67" w:hanging="108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10.890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+1.499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–0.136</w:t>
            </w:r>
          </w:p>
        </w:tc>
        <w:tc>
          <w:tcPr>
            <w:tcW w:w="1030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–0.713</w:t>
            </w:r>
          </w:p>
        </w:tc>
        <w:tc>
          <w:tcPr>
            <w:tcW w:w="1219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+0.096</w:t>
            </w:r>
          </w:p>
        </w:tc>
      </w:tr>
      <w:tr w:rsidR="004F6288" w:rsidRPr="00FC4F87" w:rsidTr="005F02A7">
        <w:tc>
          <w:tcPr>
            <w:tcW w:w="3085" w:type="dxa"/>
          </w:tcPr>
          <w:p w:rsidR="004F6288" w:rsidRPr="00E46192" w:rsidRDefault="004F6288" w:rsidP="005F02A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CAM–B3LYP/6–311</w:t>
            </w:r>
            <w:r w:rsidRPr="00E46192">
              <w:rPr>
                <w:sz w:val="22"/>
                <w:szCs w:val="22"/>
              </w:rPr>
              <w:t>++</w:t>
            </w:r>
            <w:r w:rsidRPr="00E46192">
              <w:rPr>
                <w:sz w:val="22"/>
                <w:szCs w:val="22"/>
                <w:lang w:val="en-US"/>
              </w:rPr>
              <w:t>G**</w:t>
            </w:r>
          </w:p>
        </w:tc>
        <w:tc>
          <w:tcPr>
            <w:tcW w:w="1276" w:type="dxa"/>
          </w:tcPr>
          <w:p w:rsidR="004F6288" w:rsidRPr="00E46192" w:rsidRDefault="004F6288" w:rsidP="005F02A7">
            <w:pPr>
              <w:ind w:right="-67" w:hanging="108"/>
              <w:jc w:val="center"/>
              <w:rPr>
                <w:sz w:val="22"/>
                <w:szCs w:val="22"/>
              </w:rPr>
            </w:pPr>
            <w:r w:rsidRPr="00E46192">
              <w:rPr>
                <w:sz w:val="22"/>
                <w:szCs w:val="22"/>
                <w:lang w:val="en-US"/>
              </w:rPr>
              <w:t>10.911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+1.706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–0.233</w:t>
            </w:r>
          </w:p>
        </w:tc>
        <w:tc>
          <w:tcPr>
            <w:tcW w:w="1030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–0.738</w:t>
            </w:r>
          </w:p>
        </w:tc>
        <w:tc>
          <w:tcPr>
            <w:tcW w:w="1219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+0.117</w:t>
            </w:r>
          </w:p>
        </w:tc>
      </w:tr>
      <w:tr w:rsidR="004F6288" w:rsidRPr="00FC4F87" w:rsidTr="005F02A7">
        <w:tc>
          <w:tcPr>
            <w:tcW w:w="3085" w:type="dxa"/>
          </w:tcPr>
          <w:p w:rsidR="004F6288" w:rsidRPr="00E46192" w:rsidRDefault="004F6288" w:rsidP="005F02A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HF/6–31G**</w:t>
            </w:r>
          </w:p>
        </w:tc>
        <w:tc>
          <w:tcPr>
            <w:tcW w:w="1276" w:type="dxa"/>
          </w:tcPr>
          <w:p w:rsidR="004F6288" w:rsidRPr="00E46192" w:rsidRDefault="004F6288" w:rsidP="005F02A7">
            <w:pPr>
              <w:ind w:right="-67" w:hanging="108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11.865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+2.085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–0.337</w:t>
            </w:r>
          </w:p>
        </w:tc>
        <w:tc>
          <w:tcPr>
            <w:tcW w:w="1030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–0.830</w:t>
            </w:r>
          </w:p>
        </w:tc>
        <w:tc>
          <w:tcPr>
            <w:tcW w:w="1219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+0.124</w:t>
            </w:r>
          </w:p>
        </w:tc>
      </w:tr>
      <w:tr w:rsidR="004F6288" w:rsidRPr="00FC4F87" w:rsidTr="005F02A7">
        <w:tc>
          <w:tcPr>
            <w:tcW w:w="3085" w:type="dxa"/>
          </w:tcPr>
          <w:p w:rsidR="004F6288" w:rsidRPr="00E46192" w:rsidRDefault="004F6288" w:rsidP="005F02A7">
            <w:pPr>
              <w:jc w:val="center"/>
              <w:rPr>
                <w:b/>
                <w:sz w:val="22"/>
                <w:szCs w:val="22"/>
              </w:rPr>
            </w:pPr>
            <w:r w:rsidRPr="00E46192">
              <w:rPr>
                <w:sz w:val="22"/>
                <w:szCs w:val="22"/>
                <w:lang w:val="en-US"/>
              </w:rPr>
              <w:t>HF/6–311G**</w:t>
            </w:r>
          </w:p>
        </w:tc>
        <w:tc>
          <w:tcPr>
            <w:tcW w:w="1276" w:type="dxa"/>
          </w:tcPr>
          <w:p w:rsidR="004F6288" w:rsidRPr="00E46192" w:rsidRDefault="004F6288" w:rsidP="005F02A7">
            <w:pPr>
              <w:ind w:right="-67" w:hanging="108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11.766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+1.865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–0.237</w:t>
            </w:r>
          </w:p>
        </w:tc>
        <w:tc>
          <w:tcPr>
            <w:tcW w:w="1030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–0.806</w:t>
            </w:r>
          </w:p>
        </w:tc>
        <w:tc>
          <w:tcPr>
            <w:tcW w:w="1219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+0.112</w:t>
            </w:r>
          </w:p>
        </w:tc>
      </w:tr>
      <w:tr w:rsidR="004F6288" w:rsidRPr="00FC4F87" w:rsidTr="005F02A7">
        <w:tc>
          <w:tcPr>
            <w:tcW w:w="3085" w:type="dxa"/>
          </w:tcPr>
          <w:p w:rsidR="004F6288" w:rsidRPr="00E46192" w:rsidRDefault="004F6288" w:rsidP="005F02A7">
            <w:pPr>
              <w:jc w:val="center"/>
              <w:rPr>
                <w:b/>
                <w:sz w:val="22"/>
                <w:szCs w:val="22"/>
              </w:rPr>
            </w:pPr>
            <w:r w:rsidRPr="00E46192">
              <w:rPr>
                <w:sz w:val="22"/>
                <w:szCs w:val="22"/>
                <w:lang w:val="en-US"/>
              </w:rPr>
              <w:t>HF/6–311++G**</w:t>
            </w:r>
          </w:p>
        </w:tc>
        <w:tc>
          <w:tcPr>
            <w:tcW w:w="1276" w:type="dxa"/>
          </w:tcPr>
          <w:p w:rsidR="004F6288" w:rsidRPr="00E46192" w:rsidRDefault="004F6288" w:rsidP="005F02A7">
            <w:pPr>
              <w:ind w:right="-67" w:hanging="108"/>
              <w:jc w:val="center"/>
              <w:rPr>
                <w:sz w:val="22"/>
                <w:szCs w:val="22"/>
              </w:rPr>
            </w:pPr>
            <w:r w:rsidRPr="00E46192">
              <w:rPr>
                <w:sz w:val="22"/>
                <w:szCs w:val="22"/>
                <w:lang w:val="en-US"/>
              </w:rPr>
              <w:t>11.836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</w:rPr>
            </w:pPr>
            <w:r w:rsidRPr="00E46192">
              <w:rPr>
                <w:sz w:val="22"/>
                <w:szCs w:val="22"/>
              </w:rPr>
              <w:t>+2</w:t>
            </w:r>
            <w:r w:rsidRPr="00E46192">
              <w:rPr>
                <w:sz w:val="22"/>
                <w:szCs w:val="22"/>
                <w:lang w:val="en-US"/>
              </w:rPr>
              <w:t>.</w:t>
            </w:r>
            <w:r w:rsidRPr="00E46192">
              <w:rPr>
                <w:sz w:val="22"/>
                <w:szCs w:val="22"/>
              </w:rPr>
              <w:t>034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–0.304</w:t>
            </w:r>
          </w:p>
        </w:tc>
        <w:tc>
          <w:tcPr>
            <w:tcW w:w="1030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–0.810</w:t>
            </w:r>
          </w:p>
        </w:tc>
        <w:tc>
          <w:tcPr>
            <w:tcW w:w="1219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+0.099</w:t>
            </w:r>
          </w:p>
        </w:tc>
      </w:tr>
      <w:tr w:rsidR="004F6288" w:rsidRPr="00FC4F87" w:rsidTr="005F02A7">
        <w:tc>
          <w:tcPr>
            <w:tcW w:w="3085" w:type="dxa"/>
          </w:tcPr>
          <w:p w:rsidR="004F6288" w:rsidRPr="00E46192" w:rsidRDefault="004F6288" w:rsidP="005F02A7">
            <w:pPr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M06/6–31G**</w:t>
            </w:r>
          </w:p>
        </w:tc>
        <w:tc>
          <w:tcPr>
            <w:tcW w:w="1276" w:type="dxa"/>
          </w:tcPr>
          <w:p w:rsidR="004F6288" w:rsidRPr="00E46192" w:rsidRDefault="004F6288" w:rsidP="005F02A7">
            <w:pPr>
              <w:ind w:right="-67" w:hanging="108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10.812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+1.715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–0.226</w:t>
            </w:r>
          </w:p>
        </w:tc>
        <w:tc>
          <w:tcPr>
            <w:tcW w:w="1030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–0.746</w:t>
            </w:r>
          </w:p>
        </w:tc>
        <w:tc>
          <w:tcPr>
            <w:tcW w:w="1219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+0.117</w:t>
            </w:r>
          </w:p>
        </w:tc>
      </w:tr>
      <w:tr w:rsidR="004F6288" w:rsidRPr="00FC4F87" w:rsidTr="005F02A7">
        <w:tc>
          <w:tcPr>
            <w:tcW w:w="3085" w:type="dxa"/>
          </w:tcPr>
          <w:p w:rsidR="004F6288" w:rsidRPr="00E46192" w:rsidRDefault="004F6288" w:rsidP="005F02A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M06/6–311G**</w:t>
            </w:r>
          </w:p>
        </w:tc>
        <w:tc>
          <w:tcPr>
            <w:tcW w:w="1276" w:type="dxa"/>
          </w:tcPr>
          <w:p w:rsidR="004F6288" w:rsidRPr="00E46192" w:rsidRDefault="004F6288" w:rsidP="005F02A7">
            <w:pPr>
              <w:ind w:right="-67" w:hanging="108"/>
              <w:jc w:val="center"/>
              <w:rPr>
                <w:sz w:val="22"/>
                <w:szCs w:val="22"/>
              </w:rPr>
            </w:pPr>
            <w:r w:rsidRPr="00E46192">
              <w:rPr>
                <w:sz w:val="22"/>
                <w:szCs w:val="22"/>
                <w:lang w:val="en-US"/>
              </w:rPr>
              <w:t>10.621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</w:rPr>
            </w:pPr>
            <w:r w:rsidRPr="00E46192">
              <w:rPr>
                <w:sz w:val="22"/>
                <w:szCs w:val="22"/>
                <w:lang w:val="en-US"/>
              </w:rPr>
              <w:t>+1.457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–0.117</w:t>
            </w:r>
          </w:p>
        </w:tc>
        <w:tc>
          <w:tcPr>
            <w:tcW w:w="1030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–0.714</w:t>
            </w:r>
          </w:p>
        </w:tc>
        <w:tc>
          <w:tcPr>
            <w:tcW w:w="1219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+0.103</w:t>
            </w:r>
          </w:p>
        </w:tc>
      </w:tr>
      <w:tr w:rsidR="004F6288" w:rsidRPr="00FC4F87" w:rsidTr="005F02A7">
        <w:tc>
          <w:tcPr>
            <w:tcW w:w="3085" w:type="dxa"/>
          </w:tcPr>
          <w:p w:rsidR="004F6288" w:rsidRPr="00E46192" w:rsidRDefault="004F6288" w:rsidP="005F02A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M06/6–311</w:t>
            </w:r>
            <w:r w:rsidRPr="00E46192">
              <w:rPr>
                <w:sz w:val="22"/>
                <w:szCs w:val="22"/>
              </w:rPr>
              <w:t>++</w:t>
            </w:r>
            <w:r w:rsidRPr="00E46192">
              <w:rPr>
                <w:sz w:val="22"/>
                <w:szCs w:val="22"/>
                <w:lang w:val="en-US"/>
              </w:rPr>
              <w:t>G**</w:t>
            </w:r>
          </w:p>
        </w:tc>
        <w:tc>
          <w:tcPr>
            <w:tcW w:w="1276" w:type="dxa"/>
          </w:tcPr>
          <w:p w:rsidR="004F6288" w:rsidRPr="00E46192" w:rsidRDefault="004F6288" w:rsidP="005F02A7">
            <w:pPr>
              <w:ind w:right="-67" w:hanging="108"/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10.715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+1.702</w:t>
            </w:r>
          </w:p>
        </w:tc>
        <w:tc>
          <w:tcPr>
            <w:tcW w:w="1004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–0.234</w:t>
            </w:r>
          </w:p>
        </w:tc>
        <w:tc>
          <w:tcPr>
            <w:tcW w:w="1030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  <w:lang w:val="en-US"/>
              </w:rPr>
            </w:pPr>
            <w:r w:rsidRPr="00E46192">
              <w:rPr>
                <w:sz w:val="22"/>
                <w:szCs w:val="22"/>
                <w:lang w:val="en-US"/>
              </w:rPr>
              <w:t>–0.737</w:t>
            </w:r>
          </w:p>
        </w:tc>
        <w:tc>
          <w:tcPr>
            <w:tcW w:w="1219" w:type="dxa"/>
          </w:tcPr>
          <w:p w:rsidR="004F6288" w:rsidRPr="00E46192" w:rsidRDefault="004F6288" w:rsidP="005F02A7">
            <w:pPr>
              <w:jc w:val="center"/>
              <w:rPr>
                <w:sz w:val="22"/>
                <w:szCs w:val="22"/>
              </w:rPr>
            </w:pPr>
            <w:r w:rsidRPr="00D86951">
              <w:rPr>
                <w:sz w:val="22"/>
                <w:szCs w:val="22"/>
                <w:lang w:val="en-US"/>
              </w:rPr>
              <w:t>+</w:t>
            </w:r>
            <w:r w:rsidRPr="00E46192">
              <w:rPr>
                <w:sz w:val="22"/>
                <w:szCs w:val="22"/>
                <w:lang w:val="en-US"/>
              </w:rPr>
              <w:t>0.123</w:t>
            </w:r>
          </w:p>
        </w:tc>
      </w:tr>
    </w:tbl>
    <w:p w:rsidR="004F6288" w:rsidRPr="00E46192" w:rsidRDefault="004F6288" w:rsidP="00BE6E41">
      <w:pPr>
        <w:shd w:val="clear" w:color="auto" w:fill="FFFFFF"/>
        <w:ind w:firstLine="426"/>
        <w:rPr>
          <w:sz w:val="20"/>
          <w:szCs w:val="20"/>
        </w:rPr>
      </w:pPr>
      <w:r w:rsidRPr="00E46192">
        <w:rPr>
          <w:sz w:val="20"/>
          <w:szCs w:val="20"/>
        </w:rPr>
        <w:t>Пояснения</w:t>
      </w:r>
      <w:r w:rsidRPr="00E46192">
        <w:rPr>
          <w:i/>
          <w:sz w:val="20"/>
          <w:szCs w:val="20"/>
        </w:rPr>
        <w:t xml:space="preserve">. </w:t>
      </w:r>
      <w:r w:rsidRPr="00E46192">
        <w:rPr>
          <w:i/>
          <w:sz w:val="20"/>
          <w:szCs w:val="20"/>
          <w:lang w:val="en-US"/>
        </w:rPr>
        <w:t>q</w:t>
      </w:r>
      <w:r w:rsidRPr="00E46192">
        <w:rPr>
          <w:sz w:val="20"/>
          <w:szCs w:val="20"/>
        </w:rPr>
        <w:t>(</w:t>
      </w:r>
      <w:r w:rsidRPr="00E46192">
        <w:rPr>
          <w:sz w:val="20"/>
          <w:szCs w:val="20"/>
          <w:lang w:val="en-US"/>
        </w:rPr>
        <w:t>Ti</w:t>
      </w:r>
      <w:r w:rsidRPr="00E46192">
        <w:rPr>
          <w:sz w:val="20"/>
          <w:szCs w:val="20"/>
        </w:rPr>
        <w:t xml:space="preserve">) – заряд на титане. </w:t>
      </w:r>
      <w:r w:rsidRPr="00E46192">
        <w:rPr>
          <w:i/>
          <w:sz w:val="20"/>
          <w:szCs w:val="20"/>
          <w:lang w:val="en-US"/>
        </w:rPr>
        <w:t>q</w:t>
      </w:r>
      <w:r w:rsidRPr="00E46192">
        <w:rPr>
          <w:sz w:val="20"/>
          <w:szCs w:val="20"/>
        </w:rPr>
        <w:t>(</w:t>
      </w:r>
      <w:r w:rsidRPr="00E46192">
        <w:rPr>
          <w:sz w:val="20"/>
          <w:szCs w:val="20"/>
          <w:lang w:val="en-US"/>
        </w:rPr>
        <w:t>Cp</w:t>
      </w:r>
      <w:r w:rsidRPr="00E46192">
        <w:rPr>
          <w:sz w:val="20"/>
          <w:szCs w:val="20"/>
        </w:rPr>
        <w:t xml:space="preserve">) – заряд на каждом из двух Ср–лигандов. </w:t>
      </w:r>
      <w:r w:rsidRPr="00E46192">
        <w:rPr>
          <w:i/>
          <w:sz w:val="20"/>
          <w:szCs w:val="20"/>
          <w:lang w:val="en-US"/>
        </w:rPr>
        <w:t>q</w:t>
      </w:r>
      <w:r w:rsidRPr="00E46192">
        <w:rPr>
          <w:sz w:val="20"/>
          <w:szCs w:val="20"/>
        </w:rPr>
        <w:t>(</w:t>
      </w:r>
      <w:r w:rsidRPr="00E46192">
        <w:rPr>
          <w:sz w:val="20"/>
          <w:szCs w:val="20"/>
          <w:lang w:val="en-US"/>
        </w:rPr>
        <w:t>Carb</w:t>
      </w:r>
      <w:r w:rsidRPr="00E46192">
        <w:rPr>
          <w:sz w:val="20"/>
          <w:szCs w:val="20"/>
        </w:rPr>
        <w:t>)</w:t>
      </w:r>
      <w:r w:rsidRPr="00E46192">
        <w:rPr>
          <w:b/>
          <w:sz w:val="20"/>
          <w:szCs w:val="20"/>
        </w:rPr>
        <w:t xml:space="preserve"> –</w:t>
      </w:r>
      <w:r w:rsidRPr="00E46192">
        <w:rPr>
          <w:sz w:val="20"/>
          <w:szCs w:val="20"/>
        </w:rPr>
        <w:t xml:space="preserve"> заряд на каждом из двух карборанильных лигандов. </w:t>
      </w:r>
      <w:r w:rsidRPr="00E46192">
        <w:rPr>
          <w:i/>
          <w:sz w:val="20"/>
          <w:szCs w:val="20"/>
          <w:lang w:val="en-US"/>
        </w:rPr>
        <w:t>q</w:t>
      </w:r>
      <w:r w:rsidRPr="00E46192">
        <w:rPr>
          <w:sz w:val="20"/>
          <w:szCs w:val="20"/>
        </w:rPr>
        <w:t>(&gt;</w:t>
      </w:r>
      <w:r w:rsidRPr="00E46192">
        <w:rPr>
          <w:sz w:val="20"/>
          <w:szCs w:val="20"/>
          <w:lang w:val="en-US"/>
        </w:rPr>
        <w:t>CMe</w:t>
      </w:r>
      <w:r w:rsidRPr="00E46192">
        <w:rPr>
          <w:sz w:val="20"/>
          <w:szCs w:val="20"/>
          <w:vertAlign w:val="subscript"/>
        </w:rPr>
        <w:t>2</w:t>
      </w:r>
      <w:r w:rsidRPr="00E46192">
        <w:rPr>
          <w:sz w:val="20"/>
          <w:szCs w:val="20"/>
        </w:rPr>
        <w:t xml:space="preserve">) </w:t>
      </w:r>
      <w:r w:rsidRPr="00E46192">
        <w:rPr>
          <w:b/>
          <w:sz w:val="20"/>
          <w:szCs w:val="20"/>
        </w:rPr>
        <w:t>–</w:t>
      </w:r>
      <w:r w:rsidRPr="00E46192">
        <w:rPr>
          <w:sz w:val="20"/>
          <w:szCs w:val="20"/>
        </w:rPr>
        <w:t xml:space="preserve"> заряд на каждом из двух &gt;</w:t>
      </w:r>
      <w:r w:rsidRPr="00E46192">
        <w:rPr>
          <w:sz w:val="20"/>
          <w:szCs w:val="20"/>
          <w:lang w:val="en-US"/>
        </w:rPr>
        <w:t>CMe</w:t>
      </w:r>
      <w:r w:rsidRPr="00E46192">
        <w:rPr>
          <w:sz w:val="20"/>
          <w:szCs w:val="20"/>
          <w:vertAlign w:val="subscript"/>
        </w:rPr>
        <w:t>2</w:t>
      </w:r>
      <w:r w:rsidRPr="00E46192">
        <w:rPr>
          <w:sz w:val="20"/>
          <w:szCs w:val="20"/>
        </w:rPr>
        <w:t xml:space="preserve"> мостиков.</w:t>
      </w:r>
    </w:p>
    <w:p w:rsidR="004F6288" w:rsidRDefault="004F6288" w:rsidP="00B900AA">
      <w:pPr>
        <w:shd w:val="clear" w:color="auto" w:fill="FFFFFF"/>
        <w:ind w:firstLine="426"/>
        <w:rPr>
          <w:color w:val="000000"/>
        </w:rPr>
      </w:pPr>
      <w:r>
        <w:rPr>
          <w:bCs/>
          <w:iCs/>
        </w:rPr>
        <w:t xml:space="preserve">Подавляющее большинство использованных методов </w:t>
      </w:r>
      <w:r w:rsidRPr="00B26DE8">
        <w:rPr>
          <w:bCs/>
          <w:iCs/>
        </w:rPr>
        <w:t xml:space="preserve">разного уровня теории </w:t>
      </w:r>
      <w:r>
        <w:rPr>
          <w:bCs/>
          <w:iCs/>
        </w:rPr>
        <w:t xml:space="preserve">предоставили реалистичные данные: заряд на металле: +1.1...+1.8, заряды на </w:t>
      </w:r>
      <w:r w:rsidRPr="007D1F16">
        <w:rPr>
          <w:bCs/>
          <w:iCs/>
        </w:rPr>
        <w:t>лига</w:t>
      </w:r>
      <w:r>
        <w:rPr>
          <w:bCs/>
          <w:iCs/>
        </w:rPr>
        <w:t>н</w:t>
      </w:r>
      <w:r w:rsidRPr="007D1F16">
        <w:rPr>
          <w:bCs/>
          <w:iCs/>
        </w:rPr>
        <w:t>дах</w:t>
      </w:r>
      <w:r>
        <w:rPr>
          <w:bCs/>
          <w:iCs/>
        </w:rPr>
        <w:t>:</w:t>
      </w:r>
      <w:r w:rsidRPr="007D1F16">
        <w:rPr>
          <w:bCs/>
          <w:iCs/>
        </w:rPr>
        <w:t xml:space="preserve"> </w:t>
      </w:r>
      <w:r>
        <w:rPr>
          <w:rFonts w:ascii="Calibri" w:hAnsi="Calibri"/>
          <w:bCs/>
          <w:iCs/>
        </w:rPr>
        <w:t>−</w:t>
      </w:r>
      <w:r>
        <w:rPr>
          <w:bCs/>
          <w:iCs/>
        </w:rPr>
        <w:t>0.05...</w:t>
      </w:r>
      <w:r w:rsidRPr="007D1F16">
        <w:rPr>
          <w:bCs/>
          <w:iCs/>
        </w:rPr>
        <w:t>−0.</w:t>
      </w:r>
      <w:r>
        <w:rPr>
          <w:bCs/>
          <w:iCs/>
        </w:rPr>
        <w:t>3</w:t>
      </w:r>
      <w:r w:rsidRPr="007D1F16">
        <w:rPr>
          <w:bCs/>
          <w:iCs/>
        </w:rPr>
        <w:t>5</w:t>
      </w:r>
      <w:r>
        <w:rPr>
          <w:bCs/>
          <w:iCs/>
        </w:rPr>
        <w:t xml:space="preserve"> (циклопентадиенилы) и </w:t>
      </w:r>
      <w:r w:rsidRPr="007D1F16">
        <w:rPr>
          <w:bCs/>
          <w:iCs/>
        </w:rPr>
        <w:t>−0.5</w:t>
      </w:r>
      <w:r>
        <w:rPr>
          <w:bCs/>
          <w:iCs/>
        </w:rPr>
        <w:t>0</w:t>
      </w:r>
      <w:r w:rsidRPr="007D1F16">
        <w:rPr>
          <w:bCs/>
          <w:iCs/>
        </w:rPr>
        <w:t>...−0.</w:t>
      </w:r>
      <w:r>
        <w:rPr>
          <w:bCs/>
          <w:iCs/>
        </w:rPr>
        <w:t>80</w:t>
      </w:r>
      <w:r w:rsidRPr="007D1F16">
        <w:rPr>
          <w:bCs/>
          <w:iCs/>
        </w:rPr>
        <w:t xml:space="preserve"> </w:t>
      </w:r>
      <w:r>
        <w:rPr>
          <w:bCs/>
          <w:iCs/>
        </w:rPr>
        <w:t xml:space="preserve">(карборанилы). Соответственно, приближение </w:t>
      </w:r>
      <w:r w:rsidRPr="00B6418D">
        <w:rPr>
          <w:bCs/>
          <w:iCs/>
          <w:lang w:val="en-US"/>
        </w:rPr>
        <w:t>NBO</w:t>
      </w:r>
      <w:r w:rsidRPr="00B6418D">
        <w:rPr>
          <w:bCs/>
          <w:iCs/>
        </w:rPr>
        <w:t xml:space="preserve"> </w:t>
      </w:r>
      <w:r>
        <w:rPr>
          <w:bCs/>
          <w:iCs/>
        </w:rPr>
        <w:t xml:space="preserve">достаточно </w:t>
      </w:r>
      <w:r w:rsidRPr="00B6418D">
        <w:rPr>
          <w:bCs/>
          <w:iCs/>
        </w:rPr>
        <w:t>надежно опис</w:t>
      </w:r>
      <w:r>
        <w:rPr>
          <w:bCs/>
          <w:iCs/>
        </w:rPr>
        <w:t>ыв</w:t>
      </w:r>
      <w:r w:rsidRPr="00B6418D">
        <w:rPr>
          <w:bCs/>
          <w:iCs/>
        </w:rPr>
        <w:t>а</w:t>
      </w:r>
      <w:r>
        <w:rPr>
          <w:bCs/>
          <w:iCs/>
        </w:rPr>
        <w:t>ет</w:t>
      </w:r>
      <w:r w:rsidRPr="00B6418D">
        <w:rPr>
          <w:bCs/>
          <w:iCs/>
        </w:rPr>
        <w:t xml:space="preserve"> атомны</w:t>
      </w:r>
      <w:r>
        <w:rPr>
          <w:bCs/>
          <w:iCs/>
        </w:rPr>
        <w:t>е</w:t>
      </w:r>
      <w:r w:rsidRPr="00B6418D">
        <w:rPr>
          <w:bCs/>
          <w:iCs/>
        </w:rPr>
        <w:t xml:space="preserve"> заряд</w:t>
      </w:r>
      <w:r>
        <w:rPr>
          <w:bCs/>
          <w:iCs/>
        </w:rPr>
        <w:t>ы</w:t>
      </w:r>
      <w:r w:rsidRPr="00B6418D">
        <w:rPr>
          <w:bCs/>
          <w:iCs/>
        </w:rPr>
        <w:t xml:space="preserve"> </w:t>
      </w:r>
      <w:r>
        <w:rPr>
          <w:bCs/>
          <w:iCs/>
        </w:rPr>
        <w:t>целевой полярной молекул</w:t>
      </w:r>
      <w:r w:rsidRPr="00B6418D">
        <w:rPr>
          <w:bCs/>
          <w:iCs/>
        </w:rPr>
        <w:t>ы</w:t>
      </w:r>
      <w:r>
        <w:rPr>
          <w:bCs/>
          <w:iCs/>
        </w:rPr>
        <w:t xml:space="preserve"> и</w:t>
      </w:r>
      <w:r w:rsidRPr="00B6418D">
        <w:rPr>
          <w:bCs/>
          <w:iCs/>
        </w:rPr>
        <w:t xml:space="preserve"> в значительной степени не зависит от базисного набора.</w:t>
      </w:r>
    </w:p>
    <w:p w:rsidR="004F6288" w:rsidRPr="00575771" w:rsidRDefault="004F6288" w:rsidP="00B900AA">
      <w:pPr>
        <w:shd w:val="clear" w:color="auto" w:fill="FFFFFF"/>
        <w:ind w:firstLine="426"/>
        <w:rPr>
          <w:i/>
          <w:iCs/>
          <w:color w:val="000000"/>
        </w:rPr>
      </w:pPr>
      <w:r w:rsidRPr="00575771">
        <w:rPr>
          <w:i/>
          <w:iCs/>
          <w:color w:val="000000"/>
        </w:rPr>
        <w:t>Работа выполнена в соответствии с госзаданием ФИЦ ХФ и МХ РАН (№ госрегистрации 124013000686-3), госзаданием ЮНЦ РАН 122020100282-6.</w:t>
      </w:r>
    </w:p>
    <w:p w:rsidR="004F6288" w:rsidRDefault="004F6288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4F6288" w:rsidRPr="00E81D35" w:rsidRDefault="004F6288" w:rsidP="00107AA3">
      <w:pP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Pr="00AE6912">
        <w:rPr>
          <w:color w:val="000000"/>
          <w:lang w:val="en-US"/>
        </w:rPr>
        <w:t xml:space="preserve">Loukova G.V. Springer Handbook of Inorganic Photochemistry. </w:t>
      </w:r>
      <w:r w:rsidRPr="00AE6912">
        <w:rPr>
          <w:color w:val="000000"/>
          <w:lang w:val="it-IT"/>
        </w:rPr>
        <w:t xml:space="preserve">Chapter </w:t>
      </w:r>
      <w:r w:rsidRPr="00AE6912">
        <w:rPr>
          <w:color w:val="000000"/>
          <w:lang w:val="en-US"/>
        </w:rPr>
        <w:t>19</w:t>
      </w:r>
      <w:r w:rsidRPr="00AE6912">
        <w:rPr>
          <w:color w:val="000000"/>
          <w:lang w:val="it-IT"/>
        </w:rPr>
        <w:t xml:space="preserve"> / Eds.: </w:t>
      </w:r>
      <w:r w:rsidRPr="00AE6912">
        <w:rPr>
          <w:color w:val="000000"/>
          <w:lang w:val="en-US"/>
        </w:rPr>
        <w:t xml:space="preserve">D. Bahnemann, A. O. T. Patrocinio. Springer Handbooks. Cham: Springer. 2022. </w:t>
      </w:r>
      <w:r w:rsidRPr="00AE6912">
        <w:rPr>
          <w:color w:val="000000"/>
          <w:lang w:val="it-IT"/>
        </w:rPr>
        <w:t>P. 465</w:t>
      </w:r>
      <w:r w:rsidRPr="00AE6912">
        <w:rPr>
          <w:color w:val="000000"/>
          <w:lang w:val="en-US"/>
        </w:rPr>
        <w:t>–499</w:t>
      </w:r>
      <w:r w:rsidRPr="00AE6912">
        <w:rPr>
          <w:color w:val="000000"/>
          <w:lang w:val="it-IT"/>
        </w:rPr>
        <w:t>.</w:t>
      </w:r>
    </w:p>
    <w:p w:rsidR="004F6288" w:rsidRPr="00107AA3" w:rsidRDefault="004F6288" w:rsidP="00107AA3">
      <w:pP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Pr="009872DB">
        <w:rPr>
          <w:color w:val="000000"/>
          <w:lang w:val="en-US"/>
        </w:rPr>
        <w:t xml:space="preserve">Loukova G.V. Organometallic Compounds: Preparation, Structure and Properties. </w:t>
      </w:r>
      <w:r w:rsidRPr="009872DB">
        <w:rPr>
          <w:color w:val="000000"/>
          <w:lang w:val="it-IT"/>
        </w:rPr>
        <w:t>Chapter 4 / Ed.: H.F. Chin.</w:t>
      </w:r>
      <w:r w:rsidRPr="009872DB">
        <w:rPr>
          <w:i/>
          <w:color w:val="000000"/>
          <w:lang w:val="it-IT"/>
        </w:rPr>
        <w:t xml:space="preserve"> </w:t>
      </w:r>
      <w:r w:rsidRPr="009872DB">
        <w:rPr>
          <w:color w:val="000000"/>
          <w:lang w:val="it-IT"/>
        </w:rPr>
        <w:t>N. Y.: Nova Sci. Pub. 2010. P. 159</w:t>
      </w:r>
      <w:r w:rsidRPr="009872DB">
        <w:rPr>
          <w:color w:val="000000"/>
          <w:lang w:val="en-US"/>
        </w:rPr>
        <w:t>–196</w:t>
      </w:r>
      <w:r w:rsidRPr="009872DB">
        <w:rPr>
          <w:color w:val="000000"/>
          <w:lang w:val="it-IT"/>
        </w:rPr>
        <w:t>.</w:t>
      </w:r>
      <w:r>
        <w:rPr>
          <w:color w:val="000000"/>
        </w:rPr>
        <w:t xml:space="preserve"> </w:t>
      </w:r>
    </w:p>
    <w:sectPr w:rsidR="004F6288" w:rsidRPr="00107AA3" w:rsidSect="00286813">
      <w:pgSz w:w="11906" w:h="16838"/>
      <w:pgMar w:top="1134" w:right="1361" w:bottom="1134" w:left="1361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41"/>
    <w:rsid w:val="00063966"/>
    <w:rsid w:val="00075D6E"/>
    <w:rsid w:val="00086081"/>
    <w:rsid w:val="0009449A"/>
    <w:rsid w:val="00094FD0"/>
    <w:rsid w:val="000C7B26"/>
    <w:rsid w:val="000E334E"/>
    <w:rsid w:val="00101A1C"/>
    <w:rsid w:val="00102452"/>
    <w:rsid w:val="00103657"/>
    <w:rsid w:val="00106375"/>
    <w:rsid w:val="00107AA3"/>
    <w:rsid w:val="00116478"/>
    <w:rsid w:val="00130241"/>
    <w:rsid w:val="001B4E75"/>
    <w:rsid w:val="001E61C2"/>
    <w:rsid w:val="001F0493"/>
    <w:rsid w:val="0022260A"/>
    <w:rsid w:val="002264EE"/>
    <w:rsid w:val="0023307C"/>
    <w:rsid w:val="00286813"/>
    <w:rsid w:val="002C1D05"/>
    <w:rsid w:val="0031361E"/>
    <w:rsid w:val="00391C38"/>
    <w:rsid w:val="003B76D6"/>
    <w:rsid w:val="003E2601"/>
    <w:rsid w:val="003F4E6B"/>
    <w:rsid w:val="004A26A3"/>
    <w:rsid w:val="004E270B"/>
    <w:rsid w:val="004F0EDF"/>
    <w:rsid w:val="004F6288"/>
    <w:rsid w:val="00522BF1"/>
    <w:rsid w:val="005749B6"/>
    <w:rsid w:val="00575771"/>
    <w:rsid w:val="00585EE0"/>
    <w:rsid w:val="00590166"/>
    <w:rsid w:val="005D022B"/>
    <w:rsid w:val="005E5BE9"/>
    <w:rsid w:val="005F02A7"/>
    <w:rsid w:val="0069427D"/>
    <w:rsid w:val="006C04A4"/>
    <w:rsid w:val="006F7A19"/>
    <w:rsid w:val="007213E1"/>
    <w:rsid w:val="00725EBE"/>
    <w:rsid w:val="00775389"/>
    <w:rsid w:val="00797838"/>
    <w:rsid w:val="007C36D8"/>
    <w:rsid w:val="007D1F16"/>
    <w:rsid w:val="007F2744"/>
    <w:rsid w:val="00880634"/>
    <w:rsid w:val="008931BE"/>
    <w:rsid w:val="008B62FA"/>
    <w:rsid w:val="008C67E3"/>
    <w:rsid w:val="00910425"/>
    <w:rsid w:val="00914205"/>
    <w:rsid w:val="00921D45"/>
    <w:rsid w:val="009426C0"/>
    <w:rsid w:val="00980A65"/>
    <w:rsid w:val="009872DB"/>
    <w:rsid w:val="009A66DB"/>
    <w:rsid w:val="009B2F80"/>
    <w:rsid w:val="009B3300"/>
    <w:rsid w:val="009F3380"/>
    <w:rsid w:val="00A02163"/>
    <w:rsid w:val="00A314FE"/>
    <w:rsid w:val="00AD7380"/>
    <w:rsid w:val="00AE6912"/>
    <w:rsid w:val="00B26DE8"/>
    <w:rsid w:val="00B6418D"/>
    <w:rsid w:val="00B900AA"/>
    <w:rsid w:val="00BD73B7"/>
    <w:rsid w:val="00BE6E41"/>
    <w:rsid w:val="00BF36F8"/>
    <w:rsid w:val="00BF4622"/>
    <w:rsid w:val="00C354F8"/>
    <w:rsid w:val="00C37E70"/>
    <w:rsid w:val="00C844E2"/>
    <w:rsid w:val="00CA77F2"/>
    <w:rsid w:val="00CD00B1"/>
    <w:rsid w:val="00D0728B"/>
    <w:rsid w:val="00D22306"/>
    <w:rsid w:val="00D42542"/>
    <w:rsid w:val="00D8121C"/>
    <w:rsid w:val="00D86951"/>
    <w:rsid w:val="00DF75FC"/>
    <w:rsid w:val="00E211E5"/>
    <w:rsid w:val="00E22189"/>
    <w:rsid w:val="00E46192"/>
    <w:rsid w:val="00E74069"/>
    <w:rsid w:val="00E81D35"/>
    <w:rsid w:val="00EB0FFB"/>
    <w:rsid w:val="00EB1F49"/>
    <w:rsid w:val="00F65F3E"/>
    <w:rsid w:val="00F865B3"/>
    <w:rsid w:val="00F86A8F"/>
    <w:rsid w:val="00FB1509"/>
    <w:rsid w:val="00FC4F8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chartTrackingRefBased/>
  <w15:docId w15:val="{A68A5C8D-A2FF-48D6-A563-134282DC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C38"/>
    <w:rPr>
      <w:rFonts w:ascii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8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8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8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81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8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8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BC1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BC1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BC1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B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BC1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BC1"/>
    <w:rPr>
      <w:rFonts w:ascii="Cambria" w:eastAsia="Times New Roman" w:hAnsi="Cambria" w:cs="Times New Roman"/>
      <w:b/>
      <w:bCs/>
      <w:sz w:val="22"/>
      <w:szCs w:val="22"/>
    </w:rPr>
  </w:style>
  <w:style w:type="table" w:customStyle="1" w:styleId="TableNormal1">
    <w:name w:val="Table Normal1"/>
    <w:rsid w:val="00286813"/>
    <w:rPr>
      <w:rFonts w:cs="Calibr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8681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C3BC1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81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C3BC1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E22189"/>
    <w:rPr>
      <w:rFonts w:cs="Times New Roman"/>
      <w:color w:val="808080"/>
    </w:rPr>
  </w:style>
  <w:style w:type="paragraph" w:styleId="NoSpacing">
    <w:name w:val="No Spacing"/>
    <w:uiPriority w:val="1"/>
    <w:qFormat/>
    <w:rsid w:val="00FF190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865B3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65B3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0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Galinka</dc:creator>
  <cp:keywords/>
  <dc:description/>
  <cp:lastModifiedBy>word</cp:lastModifiedBy>
  <cp:revision>2</cp:revision>
  <dcterms:created xsi:type="dcterms:W3CDTF">2025-03-01T18:29:00Z</dcterms:created>
  <dcterms:modified xsi:type="dcterms:W3CDTF">2025-03-01T18:29:00Z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