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BEDAD" w14:textId="77777777" w:rsidR="001954DA" w:rsidRPr="00F066A6" w:rsidRDefault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 w:rsidRPr="00F066A6">
        <w:rPr>
          <w:b/>
          <w:color w:val="000000"/>
        </w:rPr>
        <w:t xml:space="preserve">Энтальпии образования </w:t>
      </w:r>
      <w:proofErr w:type="spellStart"/>
      <w:r w:rsidRPr="00F066A6">
        <w:rPr>
          <w:b/>
          <w:color w:val="000000"/>
        </w:rPr>
        <w:t>бромсодержащих</w:t>
      </w:r>
      <w:proofErr w:type="spellEnd"/>
      <w:r w:rsidRPr="00F066A6">
        <w:rPr>
          <w:b/>
          <w:color w:val="000000"/>
        </w:rPr>
        <w:t xml:space="preserve"> антипиренов на основе композиционного </w:t>
      </w:r>
      <w:proofErr w:type="gramStart"/>
      <w:r w:rsidRPr="00F066A6">
        <w:rPr>
          <w:b/>
          <w:color w:val="000000"/>
        </w:rPr>
        <w:t>квантово-химического</w:t>
      </w:r>
      <w:proofErr w:type="gramEnd"/>
      <w:r w:rsidRPr="00F066A6">
        <w:rPr>
          <w:b/>
          <w:color w:val="000000"/>
        </w:rPr>
        <w:t xml:space="preserve"> подхода и метода модельных реакций</w:t>
      </w:r>
    </w:p>
    <w:p w14:paraId="28EBC3BB" w14:textId="46483F45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66A6">
        <w:rPr>
          <w:b/>
          <w:i/>
          <w:color w:val="000000"/>
        </w:rPr>
        <w:t>Розов Т.П.</w:t>
      </w:r>
      <w:r w:rsidRPr="00F066A6">
        <w:rPr>
          <w:b/>
          <w:i/>
          <w:color w:val="000000"/>
          <w:vertAlign w:val="superscript"/>
        </w:rPr>
        <w:t>1,2</w:t>
      </w:r>
      <w:r w:rsidRPr="00F066A6">
        <w:rPr>
          <w:b/>
          <w:i/>
          <w:color w:val="000000"/>
        </w:rPr>
        <w:t>, Отлётов А.А.</w:t>
      </w:r>
      <w:r w:rsidRPr="00F066A6">
        <w:rPr>
          <w:b/>
          <w:i/>
          <w:color w:val="000000"/>
          <w:vertAlign w:val="superscript"/>
        </w:rPr>
        <w:t>1</w:t>
      </w:r>
      <w:r w:rsidRPr="00F066A6">
        <w:rPr>
          <w:b/>
          <w:i/>
          <w:color w:val="000000"/>
        </w:rPr>
        <w:t xml:space="preserve">, </w:t>
      </w:r>
      <w:proofErr w:type="spellStart"/>
      <w:r w:rsidRPr="00F066A6">
        <w:rPr>
          <w:b/>
          <w:i/>
          <w:color w:val="000000"/>
        </w:rPr>
        <w:t>Миненков</w:t>
      </w:r>
      <w:proofErr w:type="spellEnd"/>
      <w:r w:rsidRPr="00F066A6">
        <w:rPr>
          <w:b/>
          <w:i/>
          <w:color w:val="000000"/>
        </w:rPr>
        <w:t xml:space="preserve"> Ю.В.</w:t>
      </w:r>
      <w:r w:rsidRPr="00F066A6">
        <w:rPr>
          <w:b/>
          <w:i/>
          <w:color w:val="000000"/>
          <w:vertAlign w:val="superscript"/>
        </w:rPr>
        <w:t>1</w:t>
      </w:r>
    </w:p>
    <w:p w14:paraId="77C098B9" w14:textId="6A267AE2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66A6">
        <w:rPr>
          <w:i/>
          <w:color w:val="000000"/>
        </w:rPr>
        <w:t xml:space="preserve">Студент, 5 курс </w:t>
      </w:r>
      <w:proofErr w:type="spellStart"/>
      <w:r w:rsidRPr="00F066A6">
        <w:rPr>
          <w:i/>
          <w:color w:val="000000"/>
        </w:rPr>
        <w:t>специалитета</w:t>
      </w:r>
      <w:proofErr w:type="spellEnd"/>
    </w:p>
    <w:p w14:paraId="32AFEF76" w14:textId="77777777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66A6">
        <w:rPr>
          <w:i/>
          <w:color w:val="000000"/>
          <w:vertAlign w:val="superscript"/>
        </w:rPr>
        <w:t>1</w:t>
      </w:r>
      <w:r w:rsidRPr="00F066A6">
        <w:rPr>
          <w:i/>
          <w:iCs/>
          <w:color w:val="000000"/>
        </w:rPr>
        <w:t xml:space="preserve">Федеральный исследовательский центр химической физики им. Н.Н. </w:t>
      </w:r>
      <w:proofErr w:type="spellStart"/>
      <w:r w:rsidRPr="00F066A6">
        <w:rPr>
          <w:i/>
          <w:iCs/>
          <w:color w:val="000000"/>
        </w:rPr>
        <w:t>Семёнова</w:t>
      </w:r>
      <w:proofErr w:type="spellEnd"/>
      <w:r w:rsidRPr="00F066A6">
        <w:rPr>
          <w:i/>
          <w:iCs/>
          <w:color w:val="000000"/>
        </w:rPr>
        <w:t xml:space="preserve"> РАН,</w:t>
      </w:r>
      <w:r w:rsidRPr="00F066A6">
        <w:rPr>
          <w:color w:val="000000"/>
        </w:rPr>
        <w:br/>
      </w:r>
      <w:r w:rsidRPr="00F066A6">
        <w:rPr>
          <w:i/>
          <w:iCs/>
          <w:color w:val="000000"/>
        </w:rPr>
        <w:t>Москва, Россия</w:t>
      </w:r>
    </w:p>
    <w:p w14:paraId="22825E42" w14:textId="77777777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F066A6">
        <w:rPr>
          <w:i/>
          <w:color w:val="000000"/>
          <w:vertAlign w:val="superscript"/>
        </w:rPr>
        <w:t>2</w:t>
      </w:r>
      <w:r w:rsidRPr="00F066A6">
        <w:rPr>
          <w:i/>
          <w:color w:val="000000"/>
        </w:rPr>
        <w:t xml:space="preserve">Московский государственный университет имени М.В. Ломоносова, </w:t>
      </w:r>
      <w:r w:rsidRPr="00F066A6">
        <w:rPr>
          <w:i/>
          <w:color w:val="000000"/>
        </w:rPr>
        <w:br/>
        <w:t>химический факультет, Москва, Россия</w:t>
      </w:r>
    </w:p>
    <w:p w14:paraId="32057C60" w14:textId="366B7256" w:rsidR="001954DA" w:rsidRPr="00F066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066A6">
        <w:rPr>
          <w:i/>
          <w:color w:val="000000"/>
        </w:rPr>
        <w:t>E</w:t>
      </w:r>
      <w:r w:rsidR="003B76D6" w:rsidRPr="00F066A6">
        <w:rPr>
          <w:i/>
          <w:color w:val="000000"/>
        </w:rPr>
        <w:t>-</w:t>
      </w:r>
      <w:proofErr w:type="spellStart"/>
      <w:r w:rsidRPr="00F066A6">
        <w:rPr>
          <w:i/>
          <w:color w:val="000000"/>
        </w:rPr>
        <w:t>mail</w:t>
      </w:r>
      <w:proofErr w:type="spellEnd"/>
      <w:r w:rsidRPr="00F066A6">
        <w:rPr>
          <w:i/>
          <w:color w:val="000000"/>
        </w:rPr>
        <w:t xml:space="preserve">: </w:t>
      </w:r>
      <w:proofErr w:type="spellStart"/>
      <w:r w:rsidR="001954DA" w:rsidRPr="00F066A6">
        <w:rPr>
          <w:i/>
          <w:color w:val="000000"/>
          <w:u w:val="single"/>
          <w:lang w:val="en-US"/>
        </w:rPr>
        <w:t>tipo</w:t>
      </w:r>
      <w:proofErr w:type="spellEnd"/>
      <w:r w:rsidR="001954DA" w:rsidRPr="00F066A6">
        <w:rPr>
          <w:i/>
          <w:color w:val="000000"/>
          <w:u w:val="single"/>
        </w:rPr>
        <w:t>3</w:t>
      </w:r>
      <w:proofErr w:type="spellStart"/>
      <w:r w:rsidR="001954DA" w:rsidRPr="00F066A6">
        <w:rPr>
          <w:i/>
          <w:color w:val="000000"/>
          <w:u w:val="single"/>
          <w:lang w:val="en-US"/>
        </w:rPr>
        <w:t>ro</w:t>
      </w:r>
      <w:proofErr w:type="spellEnd"/>
      <w:r w:rsidR="001954DA" w:rsidRPr="00F066A6">
        <w:rPr>
          <w:i/>
          <w:color w:val="000000"/>
          <w:u w:val="single"/>
        </w:rPr>
        <w:t>@</w:t>
      </w:r>
      <w:proofErr w:type="spellStart"/>
      <w:r w:rsidR="001954DA" w:rsidRPr="00F066A6">
        <w:rPr>
          <w:i/>
          <w:color w:val="000000"/>
          <w:u w:val="single"/>
          <w:lang w:val="en-US"/>
        </w:rPr>
        <w:t>gmail</w:t>
      </w:r>
      <w:proofErr w:type="spellEnd"/>
      <w:r w:rsidR="001954DA" w:rsidRPr="00F066A6">
        <w:rPr>
          <w:i/>
          <w:color w:val="000000"/>
          <w:u w:val="single"/>
        </w:rPr>
        <w:t>.</w:t>
      </w:r>
      <w:r w:rsidR="001954DA" w:rsidRPr="00F066A6">
        <w:rPr>
          <w:i/>
          <w:color w:val="000000"/>
          <w:u w:val="single"/>
          <w:lang w:val="en-US"/>
        </w:rPr>
        <w:t>com</w:t>
      </w:r>
    </w:p>
    <w:bookmarkEnd w:id="0"/>
    <w:p w14:paraId="25CF5563" w14:textId="77777777" w:rsidR="00DB716C" w:rsidRPr="00DB716C" w:rsidRDefault="00DB716C" w:rsidP="00DB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DB716C">
        <w:rPr>
          <w:color w:val="000000"/>
        </w:rPr>
        <w:t>Бромсодержащие</w:t>
      </w:r>
      <w:proofErr w:type="spellEnd"/>
      <w:r w:rsidRPr="00DB716C">
        <w:rPr>
          <w:color w:val="000000"/>
        </w:rPr>
        <w:t xml:space="preserve"> антипирены представляют собой класс соединений, добавляемых к различным материалам с целью подавления их горения. Для моделирования процессов с участием этих соединений необходимо знать их термодинамические характеристики, в частности, энтальпии образования (ΔfH0). Прямое экспериментальное определение этих характеристик затруднено в связи со сложностью получения чистых соединений и их склонностью к фотохимическому разложению. Поэтому важной альтернативой для получения термодинамических данных становятся </w:t>
      </w:r>
      <w:proofErr w:type="gramStart"/>
      <w:r w:rsidRPr="00DB716C">
        <w:rPr>
          <w:color w:val="000000"/>
        </w:rPr>
        <w:t>квантово-химические</w:t>
      </w:r>
      <w:proofErr w:type="gramEnd"/>
      <w:r w:rsidRPr="00DB716C">
        <w:rPr>
          <w:color w:val="000000"/>
        </w:rPr>
        <w:t xml:space="preserve"> расчеты.</w:t>
      </w:r>
    </w:p>
    <w:p w14:paraId="1E0B8531" w14:textId="77777777" w:rsidR="00DB716C" w:rsidRPr="00DB716C" w:rsidRDefault="00DB716C" w:rsidP="00DB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716C">
        <w:rPr>
          <w:color w:val="000000"/>
        </w:rPr>
        <w:t xml:space="preserve">В данной работе были предсказаны энтальпии образования в газовой фазе для 12 ароматических </w:t>
      </w:r>
      <w:proofErr w:type="spellStart"/>
      <w:r w:rsidRPr="00DB716C">
        <w:rPr>
          <w:color w:val="000000"/>
        </w:rPr>
        <w:t>бромсодержащих</w:t>
      </w:r>
      <w:proofErr w:type="spellEnd"/>
      <w:r w:rsidRPr="00DB716C">
        <w:rPr>
          <w:color w:val="000000"/>
        </w:rPr>
        <w:t xml:space="preserve"> антипиренов реалистичного размера (до 30 тяжелых атомов), используемых в промышленности. С помощью разработанного в нашей группе программного обеспечения[1,2] для каждого антипирена был составлен набор модельных реакций, включающих помимо него «опорные» соединения с надежно </w:t>
      </w:r>
      <w:proofErr w:type="gramStart"/>
      <w:r w:rsidRPr="00DB716C">
        <w:rPr>
          <w:color w:val="000000"/>
        </w:rPr>
        <w:t>определенными</w:t>
      </w:r>
      <w:proofErr w:type="gramEnd"/>
      <w:r w:rsidRPr="00DB716C">
        <w:rPr>
          <w:color w:val="000000"/>
        </w:rPr>
        <w:t xml:space="preserve"> ΔfH0. Высокоточные энтальпии модельных реакций ΔrH0 были получены в рамках композиционного подхода </w:t>
      </w:r>
      <w:proofErr w:type="spellStart"/>
      <w:r w:rsidRPr="00DB716C">
        <w:rPr>
          <w:color w:val="000000"/>
        </w:rPr>
        <w:t>Феллера</w:t>
      </w:r>
      <w:proofErr w:type="spellEnd"/>
      <w:r w:rsidRPr="00DB716C">
        <w:rPr>
          <w:color w:val="000000"/>
        </w:rPr>
        <w:t>-</w:t>
      </w:r>
      <w:proofErr w:type="spellStart"/>
      <w:r w:rsidRPr="00DB716C">
        <w:rPr>
          <w:color w:val="000000"/>
        </w:rPr>
        <w:t>Петерсона</w:t>
      </w:r>
      <w:proofErr w:type="spellEnd"/>
      <w:r w:rsidRPr="00DB716C">
        <w:rPr>
          <w:color w:val="000000"/>
        </w:rPr>
        <w:t>-Диксона,[3] основанного на локальном варианте метода связанных кластеров DLPNO-CCSD(T). Комбинация ΔrH0 с ΔfH0 опорных соединений по закону Гесса позволила определить энтальпию образования антипирена из конкретной модельной реакции.</w:t>
      </w:r>
    </w:p>
    <w:p w14:paraId="3B01748E" w14:textId="77777777" w:rsidR="00DB716C" w:rsidRPr="00DB716C" w:rsidRDefault="00DB716C" w:rsidP="00DB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716C">
        <w:rPr>
          <w:color w:val="000000"/>
        </w:rPr>
        <w:t xml:space="preserve">Из-за несовершенства квантово-химических методов и возможных неточностей в ΔfH0 опорных соединений, </w:t>
      </w:r>
      <w:proofErr w:type="gramStart"/>
      <w:r w:rsidRPr="00DB716C">
        <w:rPr>
          <w:color w:val="000000"/>
        </w:rPr>
        <w:t>предсказанная</w:t>
      </w:r>
      <w:proofErr w:type="gramEnd"/>
      <w:r w:rsidRPr="00DB716C">
        <w:rPr>
          <w:color w:val="000000"/>
        </w:rPr>
        <w:t xml:space="preserve"> ΔfH0 антипирена зависит от выбора модельной реакции. Для устранения предвзятости в выборе реакции </w:t>
      </w:r>
      <w:proofErr w:type="gramStart"/>
      <w:r w:rsidRPr="00DB716C">
        <w:rPr>
          <w:color w:val="000000"/>
        </w:rPr>
        <w:t>предсказанная</w:t>
      </w:r>
      <w:proofErr w:type="gramEnd"/>
      <w:r w:rsidRPr="00DB716C">
        <w:rPr>
          <w:color w:val="000000"/>
        </w:rPr>
        <w:t xml:space="preserve"> ΔfH0 усреднялась по всем модельным реакциям. Для повышения надежности такого усреднения каждой модельной реакции присваивался определенный вес на основе следующих критериев: 1) стехиометрия реакции, 2) погрешности в ΔfH0 опорных соединений, 3) изменение энергии корреляции (разность DLPNO-CCSD(T) и HF энергий реакции, экстраполированных на предел бесконечного базисного набора (CBS)).</w:t>
      </w:r>
    </w:p>
    <w:p w14:paraId="03D53FFE" w14:textId="41E13790" w:rsidR="00E03620" w:rsidRPr="00F066A6" w:rsidRDefault="00DB716C" w:rsidP="00DB71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716C">
        <w:rPr>
          <w:color w:val="000000"/>
        </w:rPr>
        <w:t>Полученные значения были сопоставлены с известными из литературы теоретическими и экспериментальными величинами. Также было выполнено сравнение с энтальпиями образования этих соединений, полученных в рамках аддитивно-групповых и полуэмпирических методов. Предварительные результаты показывают ненадежность рассмотренных приближенных подходов.</w:t>
      </w:r>
    </w:p>
    <w:p w14:paraId="6D4EEBD7" w14:textId="77777777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F066A6">
        <w:rPr>
          <w:i/>
          <w:iCs/>
          <w:color w:val="000000"/>
        </w:rPr>
        <w:t xml:space="preserve">Авторы благодарят Российский Научный Фонд за финансовую поддержку </w:t>
      </w:r>
    </w:p>
    <w:p w14:paraId="18D06B8A" w14:textId="77777777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 w:rsidRPr="00F066A6">
        <w:rPr>
          <w:i/>
          <w:iCs/>
          <w:color w:val="000000"/>
          <w:lang w:val="en-US"/>
        </w:rPr>
        <w:t>(</w:t>
      </w:r>
      <w:proofErr w:type="gramStart"/>
      <w:r w:rsidRPr="00F066A6">
        <w:rPr>
          <w:i/>
          <w:iCs/>
          <w:color w:val="000000"/>
        </w:rPr>
        <w:t>проект</w:t>
      </w:r>
      <w:proofErr w:type="gramEnd"/>
      <w:r w:rsidRPr="00F066A6">
        <w:rPr>
          <w:i/>
          <w:iCs/>
          <w:color w:val="000000"/>
          <w:lang w:val="en-US"/>
        </w:rPr>
        <w:t xml:space="preserve"> </w:t>
      </w:r>
      <w:r w:rsidRPr="00F066A6">
        <w:rPr>
          <w:i/>
          <w:iCs/>
          <w:color w:val="000000"/>
        </w:rPr>
        <w:t>РНФ</w:t>
      </w:r>
      <w:r w:rsidRPr="00F066A6">
        <w:rPr>
          <w:i/>
          <w:iCs/>
          <w:color w:val="000000"/>
          <w:lang w:val="en-US"/>
        </w:rPr>
        <w:t xml:space="preserve"> 24-23-00302)</w:t>
      </w:r>
    </w:p>
    <w:p w14:paraId="1D02332E" w14:textId="77777777" w:rsidR="001954DA" w:rsidRPr="00F066A6" w:rsidRDefault="001954DA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</w:p>
    <w:p w14:paraId="0000000E" w14:textId="0EBA52AB" w:rsidR="00130241" w:rsidRPr="00F066A6" w:rsidRDefault="00EB1F49" w:rsidP="00195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066A6">
        <w:rPr>
          <w:b/>
          <w:color w:val="000000"/>
        </w:rPr>
        <w:t>Литература</w:t>
      </w:r>
    </w:p>
    <w:p w14:paraId="32AB0D08" w14:textId="5F47D998" w:rsidR="004B758B" w:rsidRPr="00F066A6" w:rsidRDefault="004B758B" w:rsidP="004B7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066A6">
        <w:rPr>
          <w:color w:val="000000"/>
          <w:lang w:val="en-US"/>
        </w:rPr>
        <w:t xml:space="preserve">1. </w:t>
      </w:r>
      <w:proofErr w:type="spellStart"/>
      <w:r w:rsidRPr="00F066A6">
        <w:rPr>
          <w:color w:val="000000"/>
          <w:lang w:val="en-US"/>
        </w:rPr>
        <w:t>Minenkova</w:t>
      </w:r>
      <w:proofErr w:type="spellEnd"/>
      <w:r w:rsidRPr="00F066A6">
        <w:rPr>
          <w:color w:val="000000"/>
          <w:lang w:val="en-US"/>
        </w:rPr>
        <w:t xml:space="preserve"> I., </w:t>
      </w:r>
      <w:proofErr w:type="spellStart"/>
      <w:r w:rsidRPr="00F066A6">
        <w:rPr>
          <w:color w:val="000000"/>
          <w:lang w:val="en-US"/>
        </w:rPr>
        <w:t>Otlyotov</w:t>
      </w:r>
      <w:proofErr w:type="spellEnd"/>
      <w:r w:rsidRPr="00F066A6">
        <w:rPr>
          <w:color w:val="000000"/>
          <w:lang w:val="en-US"/>
        </w:rPr>
        <w:t xml:space="preserve"> A.A., </w:t>
      </w:r>
      <w:proofErr w:type="spellStart"/>
      <w:r w:rsidRPr="00F066A6">
        <w:rPr>
          <w:color w:val="000000"/>
          <w:lang w:val="en-US"/>
        </w:rPr>
        <w:t>Cavallo</w:t>
      </w:r>
      <w:proofErr w:type="spellEnd"/>
      <w:r w:rsidRPr="00F066A6">
        <w:rPr>
          <w:color w:val="000000"/>
          <w:lang w:val="en-US"/>
        </w:rPr>
        <w:t xml:space="preserve"> L., </w:t>
      </w:r>
      <w:proofErr w:type="spellStart"/>
      <w:r w:rsidRPr="00F066A6">
        <w:rPr>
          <w:color w:val="000000"/>
          <w:lang w:val="en-US"/>
        </w:rPr>
        <w:t>Minenkov</w:t>
      </w:r>
      <w:proofErr w:type="spellEnd"/>
      <w:r w:rsidRPr="00F066A6">
        <w:rPr>
          <w:color w:val="000000"/>
          <w:lang w:val="en-US"/>
        </w:rPr>
        <w:t xml:space="preserve"> Y. // Phys. Chem. Chem. Phys. 2022. </w:t>
      </w:r>
      <w:proofErr w:type="gramStart"/>
      <w:r w:rsidRPr="00F066A6">
        <w:rPr>
          <w:color w:val="000000"/>
          <w:lang w:val="en-US"/>
        </w:rPr>
        <w:t>Vol. 24.</w:t>
      </w:r>
      <w:proofErr w:type="gramEnd"/>
      <w:r w:rsidRPr="00F066A6">
        <w:rPr>
          <w:color w:val="000000"/>
          <w:lang w:val="en-US"/>
        </w:rPr>
        <w:t xml:space="preserve"> N. 5. P. 3163–3181.</w:t>
      </w:r>
    </w:p>
    <w:p w14:paraId="44C4B22B" w14:textId="62737ED3" w:rsidR="004B758B" w:rsidRPr="00F066A6" w:rsidRDefault="004B758B" w:rsidP="004B7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066A6">
        <w:rPr>
          <w:color w:val="000000"/>
          <w:lang w:val="en-US"/>
        </w:rPr>
        <w:t xml:space="preserve">2. </w:t>
      </w:r>
      <w:proofErr w:type="spellStart"/>
      <w:r w:rsidRPr="00F066A6">
        <w:rPr>
          <w:color w:val="000000"/>
          <w:lang w:val="en-US"/>
        </w:rPr>
        <w:t>Nosach</w:t>
      </w:r>
      <w:proofErr w:type="spellEnd"/>
      <w:r w:rsidRPr="00F066A6">
        <w:rPr>
          <w:color w:val="000000"/>
          <w:lang w:val="en-US"/>
        </w:rPr>
        <w:t xml:space="preserve"> E.A., </w:t>
      </w:r>
      <w:proofErr w:type="spellStart"/>
      <w:r w:rsidRPr="00F066A6">
        <w:rPr>
          <w:color w:val="000000"/>
          <w:lang w:val="en-US"/>
        </w:rPr>
        <w:t>Rozov</w:t>
      </w:r>
      <w:proofErr w:type="spellEnd"/>
      <w:r w:rsidRPr="00F066A6">
        <w:rPr>
          <w:color w:val="000000"/>
          <w:lang w:val="en-US"/>
        </w:rPr>
        <w:t xml:space="preserve"> T.P., </w:t>
      </w:r>
      <w:proofErr w:type="spellStart"/>
      <w:r w:rsidRPr="00F066A6">
        <w:rPr>
          <w:color w:val="000000"/>
          <w:lang w:val="en-US"/>
        </w:rPr>
        <w:t>Otlyotov</w:t>
      </w:r>
      <w:proofErr w:type="spellEnd"/>
      <w:r w:rsidRPr="00F066A6">
        <w:rPr>
          <w:color w:val="000000"/>
          <w:lang w:val="en-US"/>
        </w:rPr>
        <w:t xml:space="preserve"> A.A., </w:t>
      </w:r>
      <w:proofErr w:type="spellStart"/>
      <w:r w:rsidRPr="00F066A6">
        <w:rPr>
          <w:color w:val="000000"/>
          <w:lang w:val="en-US"/>
        </w:rPr>
        <w:t>Minenkov</w:t>
      </w:r>
      <w:proofErr w:type="spellEnd"/>
      <w:r w:rsidRPr="00F066A6">
        <w:rPr>
          <w:color w:val="000000"/>
          <w:lang w:val="en-US"/>
        </w:rPr>
        <w:t xml:space="preserve"> Y. // Adv. Theory Simulations. 2024. Vol. 7. </w:t>
      </w:r>
      <w:proofErr w:type="gramStart"/>
      <w:r w:rsidRPr="00F066A6">
        <w:rPr>
          <w:color w:val="000000"/>
          <w:lang w:val="en-US"/>
        </w:rPr>
        <w:t>P. 2400319.</w:t>
      </w:r>
      <w:proofErr w:type="gramEnd"/>
    </w:p>
    <w:p w14:paraId="3486C755" w14:textId="043498D3" w:rsidR="00116478" w:rsidRPr="00F066A6" w:rsidRDefault="0048201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066A6">
        <w:rPr>
          <w:color w:val="000000"/>
          <w:lang w:val="en-US"/>
        </w:rPr>
        <w:t xml:space="preserve">3. </w:t>
      </w:r>
      <w:r w:rsidRPr="00F066A6">
        <w:rPr>
          <w:lang w:val="en-US"/>
        </w:rPr>
        <w:t>D. A. Dixon, D. Feller and K. A. Peterson // Annual Reports in Computational Chemistry, ed. A</w:t>
      </w:r>
      <w:r w:rsidRPr="00F066A6">
        <w:t xml:space="preserve">. </w:t>
      </w:r>
      <w:r w:rsidRPr="00F066A6">
        <w:rPr>
          <w:lang w:val="en-US"/>
        </w:rPr>
        <w:t>W</w:t>
      </w:r>
      <w:r w:rsidRPr="00F066A6">
        <w:t xml:space="preserve">. </w:t>
      </w:r>
      <w:r w:rsidRPr="00F066A6">
        <w:rPr>
          <w:lang w:val="en-US"/>
        </w:rPr>
        <w:t>Ralph</w:t>
      </w:r>
      <w:r w:rsidRPr="00F066A6">
        <w:t xml:space="preserve">, </w:t>
      </w:r>
      <w:r w:rsidRPr="00F066A6">
        <w:rPr>
          <w:lang w:val="en-US"/>
        </w:rPr>
        <w:t>Elsevier</w:t>
      </w:r>
      <w:r w:rsidRPr="00F066A6">
        <w:t xml:space="preserve">. 2012. </w:t>
      </w:r>
      <w:proofErr w:type="spellStart"/>
      <w:proofErr w:type="gramStart"/>
      <w:r w:rsidRPr="00F066A6">
        <w:rPr>
          <w:lang w:val="en-US"/>
        </w:rPr>
        <w:t>Vol</w:t>
      </w:r>
      <w:proofErr w:type="spellEnd"/>
      <w:r w:rsidR="00365792" w:rsidRPr="00F066A6">
        <w:t>. 1</w:t>
      </w:r>
      <w:r w:rsidR="00365792" w:rsidRPr="00F066A6">
        <w:rPr>
          <w:lang w:val="en-US"/>
        </w:rPr>
        <w:t>.</w:t>
      </w:r>
      <w:proofErr w:type="gramEnd"/>
      <w:r w:rsidRPr="00F066A6">
        <w:t xml:space="preserve"> </w:t>
      </w:r>
      <w:proofErr w:type="spellStart"/>
      <w:r w:rsidRPr="00F066A6">
        <w:rPr>
          <w:lang w:val="en-US"/>
        </w:rPr>
        <w:t>Chapt</w:t>
      </w:r>
      <w:proofErr w:type="spellEnd"/>
      <w:r w:rsidRPr="00F066A6">
        <w:rPr>
          <w:lang w:val="en-US"/>
        </w:rPr>
        <w:t xml:space="preserve">. </w:t>
      </w:r>
      <w:r w:rsidR="00365792" w:rsidRPr="00F066A6">
        <w:t>8</w:t>
      </w:r>
      <w:r w:rsidR="00365792" w:rsidRPr="00F066A6">
        <w:rPr>
          <w:lang w:val="en-US"/>
        </w:rPr>
        <w:t>.</w:t>
      </w:r>
      <w:r w:rsidRPr="00F066A6">
        <w:t xml:space="preserve"> </w:t>
      </w:r>
      <w:r w:rsidRPr="00F066A6">
        <w:rPr>
          <w:lang w:val="en-US"/>
        </w:rPr>
        <w:t xml:space="preserve">P </w:t>
      </w:r>
      <w:r w:rsidRPr="00F066A6">
        <w:t>1-28.</w:t>
      </w:r>
    </w:p>
    <w:sectPr w:rsidR="00116478" w:rsidRPr="00F066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54DA"/>
    <w:rsid w:val="001E61C2"/>
    <w:rsid w:val="001F0493"/>
    <w:rsid w:val="0022260A"/>
    <w:rsid w:val="002264EE"/>
    <w:rsid w:val="0023307C"/>
    <w:rsid w:val="0031361E"/>
    <w:rsid w:val="00365792"/>
    <w:rsid w:val="00391C38"/>
    <w:rsid w:val="003B5818"/>
    <w:rsid w:val="003B76D6"/>
    <w:rsid w:val="003E2601"/>
    <w:rsid w:val="003F4E6B"/>
    <w:rsid w:val="0048201A"/>
    <w:rsid w:val="004A26A3"/>
    <w:rsid w:val="004B758B"/>
    <w:rsid w:val="004F0EDF"/>
    <w:rsid w:val="00522BF1"/>
    <w:rsid w:val="00590166"/>
    <w:rsid w:val="005D022B"/>
    <w:rsid w:val="005E5BE9"/>
    <w:rsid w:val="0069427D"/>
    <w:rsid w:val="006E163E"/>
    <w:rsid w:val="006F7A19"/>
    <w:rsid w:val="007213E1"/>
    <w:rsid w:val="00775389"/>
    <w:rsid w:val="00797838"/>
    <w:rsid w:val="007C36D8"/>
    <w:rsid w:val="007F2744"/>
    <w:rsid w:val="00860741"/>
    <w:rsid w:val="008931BE"/>
    <w:rsid w:val="008C67E3"/>
    <w:rsid w:val="00914205"/>
    <w:rsid w:val="00921D45"/>
    <w:rsid w:val="009426C0"/>
    <w:rsid w:val="00967270"/>
    <w:rsid w:val="00980A65"/>
    <w:rsid w:val="009A66DB"/>
    <w:rsid w:val="009B2F80"/>
    <w:rsid w:val="009B3300"/>
    <w:rsid w:val="009D1A1E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B716C"/>
    <w:rsid w:val="00E03620"/>
    <w:rsid w:val="00E22189"/>
    <w:rsid w:val="00E74069"/>
    <w:rsid w:val="00E81D35"/>
    <w:rsid w:val="00EB1F49"/>
    <w:rsid w:val="00F066A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4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4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4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4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26D7A-E774-44D6-B06D-71095510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2024-12-16T00:35:00Z</dcterms:created>
  <dcterms:modified xsi:type="dcterms:W3CDTF">2025-03-01T11:05:00Z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