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3B86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Расчёт дипольных моментов и поляризуемостей ряда хромофоров </w:t>
      </w:r>
      <w:r>
        <w:rPr>
          <w:b/>
          <w:bCs/>
        </w:rPr>
        <w:br w:type="textWrapping"/>
      </w:r>
      <w:r>
        <w:rPr>
          <w:b/>
          <w:bCs/>
        </w:rPr>
        <w:t>для моделирования сольватохромизма в органических растворителях</w:t>
      </w:r>
    </w:p>
    <w:p w14:paraId="7B07EA9E">
      <w:pPr>
        <w:spacing w:after="0" w:line="240" w:lineRule="auto"/>
        <w:ind w:firstLine="0"/>
        <w:jc w:val="center"/>
        <w:rPr>
          <w:i/>
          <w:color w:val="000000"/>
        </w:rPr>
      </w:pPr>
      <w:r>
        <w:rPr>
          <w:b/>
          <w:i/>
          <w:color w:val="000000"/>
          <w:u w:val="single"/>
        </w:rPr>
        <w:t>Бурибаев Р.А.</w:t>
      </w:r>
      <w:r>
        <w:rPr>
          <w:b/>
          <w:i/>
          <w:color w:val="000000"/>
          <w:u w:val="single"/>
          <w:vertAlign w:val="superscript"/>
        </w:rPr>
        <w:t>1</w:t>
      </w:r>
      <w:r>
        <w:rPr>
          <w:b/>
          <w:i/>
          <w:color w:val="000000"/>
        </w:rPr>
        <w:t>, Иоффе И.Н.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br w:type="textWrapping"/>
      </w:r>
      <w:r>
        <w:rPr>
          <w:i/>
          <w:color w:val="000000"/>
        </w:rPr>
        <w:t>Студент, 4 курс специалитета</w:t>
      </w:r>
    </w:p>
    <w:p w14:paraId="552954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0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2D997C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0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36C830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0"/>
        <w:jc w:val="center"/>
        <w:rPr>
          <w:i/>
          <w:color w:val="000000"/>
        </w:rPr>
      </w:pPr>
      <w:r>
        <w:rPr>
          <w:i/>
          <w:color w:val="000000"/>
          <w:lang w:val="de-DE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de-DE"/>
        </w:rPr>
        <w:t>mail</w:t>
      </w:r>
      <w:r>
        <w:rPr>
          <w:i/>
          <w:color w:val="000000"/>
        </w:rPr>
        <w:t xml:space="preserve">: </w:t>
      </w:r>
      <w:r>
        <w:fldChar w:fldCharType="begin"/>
      </w:r>
      <w:r>
        <w:instrText xml:space="preserve"> HYPERLINK "mailto:buribaevr@mail.ru" </w:instrText>
      </w:r>
      <w:r>
        <w:fldChar w:fldCharType="separate"/>
      </w:r>
      <w:r>
        <w:rPr>
          <w:rStyle w:val="8"/>
          <w:i/>
          <w:lang w:val="de-DE"/>
        </w:rPr>
        <w:t>buribaevr</w:t>
      </w:r>
      <w:r>
        <w:rPr>
          <w:rStyle w:val="8"/>
          <w:i/>
        </w:rPr>
        <w:t>@</w:t>
      </w:r>
      <w:r>
        <w:rPr>
          <w:rStyle w:val="8"/>
          <w:i/>
          <w:lang w:val="de-DE"/>
        </w:rPr>
        <w:t>mail</w:t>
      </w:r>
      <w:r>
        <w:rPr>
          <w:rStyle w:val="8"/>
          <w:i/>
        </w:rPr>
        <w:t>.</w:t>
      </w:r>
      <w:r>
        <w:rPr>
          <w:rStyle w:val="8"/>
          <w:i/>
          <w:lang w:val="de-DE"/>
        </w:rPr>
        <w:t>ru</w:t>
      </w:r>
      <w:r>
        <w:rPr>
          <w:rStyle w:val="8"/>
          <w:i/>
          <w:lang w:val="de-DE"/>
        </w:rPr>
        <w:fldChar w:fldCharType="end"/>
      </w:r>
    </w:p>
    <w:p w14:paraId="14A9EC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397"/>
        <w:rPr>
          <w:rFonts w:hint="default"/>
          <w:iCs/>
          <w:lang w:val="ru-RU"/>
        </w:rPr>
      </w:pPr>
      <w:r>
        <w:rPr>
          <w:iCs/>
        </w:rPr>
        <w:t>Сольватохромизм – явление</w:t>
      </w:r>
      <w:r>
        <w:rPr>
          <w:rFonts w:hint="default"/>
          <w:iCs/>
          <w:lang w:val="ru-RU"/>
        </w:rPr>
        <w:t xml:space="preserve"> сдвига полос поглощения и/или испускания</w:t>
      </w:r>
      <w:r>
        <w:rPr>
          <w:iCs/>
        </w:rPr>
        <w:t xml:space="preserve"> </w:t>
      </w:r>
      <w:r>
        <w:rPr>
          <w:iCs/>
          <w:lang w:val="ru-RU"/>
        </w:rPr>
        <w:t>системы</w:t>
      </w:r>
      <w:r>
        <w:rPr>
          <w:rFonts w:hint="default"/>
          <w:iCs/>
          <w:lang w:val="ru-RU"/>
        </w:rPr>
        <w:t xml:space="preserve"> в конденсированных средах в зависимости от их диэлектрических свойств</w:t>
      </w:r>
      <w:r>
        <w:rPr>
          <w:iCs/>
        </w:rPr>
        <w:t>.</w:t>
      </w:r>
      <w:r>
        <w:rPr>
          <w:rFonts w:hint="default"/>
          <w:iCs/>
          <w:lang w:val="ru-RU"/>
        </w:rPr>
        <w:t xml:space="preserve"> Непосредственное расчетное описание сольватохромных эффектов может быть основано на включении в рассмотрение растворителя. Для органических растворителей, не вступающих в специфические взаимодействия с растворенными молекулами, стандартным подходом является использование континуальных моделей поляризуемой</w:t>
      </w:r>
      <w:r>
        <w:rPr>
          <w:rFonts w:hint="default"/>
          <w:iCs/>
          <w:lang w:val="en-US"/>
        </w:rPr>
        <w:t xml:space="preserve"> </w:t>
      </w:r>
      <w:r>
        <w:rPr>
          <w:rFonts w:hint="default"/>
          <w:iCs/>
          <w:lang w:val="ru-RU"/>
        </w:rPr>
        <w:t xml:space="preserve">диэлектрической среды, таких как </w:t>
      </w:r>
      <w:r>
        <w:rPr>
          <w:rFonts w:hint="default"/>
          <w:iCs/>
          <w:lang w:val="en-US"/>
        </w:rPr>
        <w:t>PCM.</w:t>
      </w:r>
      <w:r>
        <w:rPr>
          <w:rFonts w:hint="default"/>
          <w:iCs/>
          <w:lang w:val="ru-RU"/>
        </w:rPr>
        <w:t xml:space="preserve"> Однако использование подобных моделей в сочетании с невариационными квантово-химическими методами сопряжено с известными трудностями, проистекающими из невозможности самосогласованного описания молекулы вместе с откликом среды. Эта проблема особенно значима для электроновозбужденных состояний, вклад которых в сольватохромные эффекты часто является преобладающим.</w:t>
      </w:r>
    </w:p>
    <w:p w14:paraId="76D041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397"/>
        <w:rPr>
          <w:rFonts w:hint="default"/>
          <w:iCs/>
          <w:lang w:val="ru-RU"/>
        </w:rPr>
      </w:pPr>
      <w:r>
        <w:rPr>
          <w:rFonts w:hint="default"/>
          <w:iCs/>
          <w:lang w:val="ru-RU"/>
        </w:rPr>
        <w:t>Модельные оценки величин сольватохромных эффектов могут также быть получены с помощью подхода самосогласованного реакционного поля Онзагера, где растворитель также рассматривается как поляризуемая диэлектрическая среда. Однако в отличие от численного расчета поляризации среды молекулярным зарядовым распределением нетривиальной формы, аппроксимация молекулы сферической полостью с заключенной в ней системой мультиполей позволяет получить несложные аналитические оценки, требующие знания лишь значимых мультипольных моментов (а также, возможно, поляризуемости) тех электронных состояний, которые определяют спектральный переход. Расчет этих величин сравнительно прост, и это достоинство может отчасти компенсировать недостатки, порождаемые упрощенной аппроксимацией формы молекулы.</w:t>
      </w:r>
    </w:p>
    <w:p w14:paraId="61DE7C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397"/>
        <w:rPr>
          <w:rFonts w:hint="default"/>
          <w:iCs/>
          <w:lang w:val="ru-RU"/>
        </w:rPr>
      </w:pPr>
      <w:r>
        <w:rPr>
          <w:rFonts w:hint="default"/>
          <w:iCs/>
          <w:lang w:val="ru-RU"/>
        </w:rPr>
        <w:t xml:space="preserve">В настоящей работе осуществлен расчет дипольных и квадрупольных моментов, а также поляризуемостей для основного и первого возбужденного синглетного состояния ряда модельных органических хромофоров. Для расчета была использована </w:t>
      </w:r>
      <w:r>
        <w:rPr>
          <w:iCs/>
        </w:rPr>
        <w:t>многоконфигурационн</w:t>
      </w:r>
      <w:r>
        <w:rPr>
          <w:iCs/>
          <w:lang w:val="ru-RU"/>
        </w:rPr>
        <w:t>аая</w:t>
      </w:r>
      <w:r>
        <w:rPr>
          <w:rFonts w:hint="default"/>
          <w:iCs/>
          <w:lang w:val="ru-RU"/>
        </w:rPr>
        <w:t xml:space="preserve"> квазивырожденная</w:t>
      </w:r>
      <w:r>
        <w:rPr>
          <w:iCs/>
        </w:rPr>
        <w:t xml:space="preserve"> теори</w:t>
      </w:r>
      <w:r>
        <w:rPr>
          <w:iCs/>
          <w:lang w:val="ru-RU"/>
        </w:rPr>
        <w:t>я</w:t>
      </w:r>
      <w:r>
        <w:rPr>
          <w:iCs/>
        </w:rPr>
        <w:t xml:space="preserve"> возмущений </w:t>
      </w:r>
      <w:r>
        <w:rPr>
          <w:iCs/>
          <w:lang w:val="en-GB"/>
        </w:rPr>
        <w:t>XMCQDPT</w:t>
      </w:r>
      <w:r>
        <w:rPr>
          <w:iCs/>
        </w:rPr>
        <w:t>2</w:t>
      </w:r>
      <w:r>
        <w:rPr>
          <w:rFonts w:hint="default"/>
          <w:iCs/>
          <w:lang w:val="ru-RU"/>
        </w:rPr>
        <w:t xml:space="preserve">. Исследовано влияние выбора активного пространства на рассчитываемые характеристики </w:t>
      </w:r>
      <w:r>
        <w:rPr>
          <w:iCs/>
        </w:rPr>
        <w:t xml:space="preserve"> </w:t>
      </w:r>
      <w:r>
        <w:rPr>
          <w:iCs/>
          <w:lang w:val="ru-RU"/>
        </w:rPr>
        <w:t>возбужденных</w:t>
      </w:r>
      <w:r>
        <w:rPr>
          <w:rFonts w:hint="default"/>
          <w:iCs/>
          <w:lang w:val="ru-RU"/>
        </w:rPr>
        <w:t xml:space="preserve"> состояний</w:t>
      </w:r>
      <w:r>
        <w:rPr>
          <w:iCs/>
        </w:rPr>
        <w:t>.</w:t>
      </w:r>
      <w:r>
        <w:rPr>
          <w:rFonts w:hint="default"/>
          <w:iCs/>
          <w:lang w:val="ru-RU"/>
        </w:rPr>
        <w:t xml:space="preserve"> Для проверки степени применимости модели Онзагера эти р</w:t>
      </w:r>
      <w:bookmarkStart w:id="0" w:name="_GoBack"/>
      <w:bookmarkEnd w:id="0"/>
      <w:r>
        <w:rPr>
          <w:rFonts w:hint="default"/>
          <w:iCs/>
          <w:lang w:val="ru-RU"/>
        </w:rPr>
        <w:t>асчетные оценки сопоставлены с полученными нашими коллегами экспериментальными спектрами в различных растворителях.</w:t>
      </w:r>
    </w:p>
    <w:p w14:paraId="67C6DF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397"/>
        <w:rPr>
          <w:iCs/>
          <w:color w:val="000000"/>
        </w:rPr>
      </w:pPr>
    </w:p>
    <w:p w14:paraId="7A65ED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0"/>
        <w:jc w:val="center"/>
        <w:rPr>
          <w:color w:val="000000"/>
        </w:rPr>
      </w:pPr>
    </w:p>
    <w:p w14:paraId="6D489D19">
      <w:pPr>
        <w:ind w:firstLine="0"/>
        <w:jc w:val="center"/>
        <w:rPr>
          <w:b/>
          <w:i/>
          <w:color w:val="000000"/>
          <w:vertAlign w:val="superscript"/>
        </w:rPr>
      </w:pPr>
    </w:p>
    <w:p w14:paraId="586F834D">
      <w:pPr>
        <w:ind w:firstLine="0"/>
        <w:jc w:val="center"/>
        <w:rPr>
          <w:b/>
          <w:i/>
          <w:color w:val="000000"/>
          <w:vertAlign w:val="superscript"/>
        </w:rPr>
      </w:pPr>
    </w:p>
    <w:p w14:paraId="653E6C7B">
      <w:pPr>
        <w:ind w:firstLine="0"/>
      </w:pPr>
      <w:r>
        <w:rPr>
          <w:b/>
          <w:i/>
          <w:color w:val="000000"/>
          <w:vertAlign w:val="superscript"/>
        </w:rPr>
        <w:tab/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74D82"/>
    <w:multiLevelType w:val="multilevel"/>
    <w:tmpl w:val="32274D82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B672E93"/>
    <w:multiLevelType w:val="multilevel"/>
    <w:tmpl w:val="6B672E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5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17"/>
    <w:rsid w:val="00267441"/>
    <w:rsid w:val="00467417"/>
    <w:rsid w:val="00590386"/>
    <w:rsid w:val="005F4429"/>
    <w:rsid w:val="00630056"/>
    <w:rsid w:val="006967DA"/>
    <w:rsid w:val="00A64F79"/>
    <w:rsid w:val="00B67A73"/>
    <w:rsid w:val="00B862A9"/>
    <w:rsid w:val="00BF6D9C"/>
    <w:rsid w:val="00D24C3A"/>
    <w:rsid w:val="2BF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0" w:line="360" w:lineRule="auto"/>
      <w:ind w:firstLine="709"/>
      <w:jc w:val="both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styleId="2">
    <w:name w:val="heading 1"/>
    <w:basedOn w:val="3"/>
    <w:next w:val="1"/>
    <w:link w:val="9"/>
    <w:qFormat/>
    <w:uiPriority w:val="9"/>
    <w:pPr>
      <w:numPr>
        <w:ilvl w:val="0"/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4">
    <w:name w:val="heading 2"/>
    <w:basedOn w:val="3"/>
    <w:next w:val="1"/>
    <w:link w:val="10"/>
    <w:unhideWhenUsed/>
    <w:qFormat/>
    <w:uiPriority w:val="9"/>
    <w:pPr>
      <w:numPr>
        <w:ilvl w:val="1"/>
        <w:numId w:val="2"/>
      </w:numPr>
      <w:ind w:left="709" w:hanging="709"/>
      <w:contextualSpacing w:val="0"/>
      <w:jc w:val="center"/>
      <w:outlineLvl w:val="1"/>
    </w:pPr>
    <w:rPr>
      <w:b/>
      <w:bCs/>
      <w:sz w:val="28"/>
      <w:szCs w:val="28"/>
    </w:rPr>
  </w:style>
  <w:style w:type="paragraph" w:styleId="5">
    <w:name w:val="heading 3"/>
    <w:basedOn w:val="3"/>
    <w:next w:val="1"/>
    <w:link w:val="14"/>
    <w:unhideWhenUsed/>
    <w:qFormat/>
    <w:uiPriority w:val="9"/>
    <w:pPr>
      <w:numPr>
        <w:ilvl w:val="2"/>
        <w:numId w:val="3"/>
      </w:numPr>
      <w:tabs>
        <w:tab w:val="left" w:pos="2160"/>
      </w:tabs>
      <w:spacing w:after="0"/>
      <w:ind w:left="709" w:hanging="709"/>
      <w:contextualSpacing w:val="0"/>
      <w:outlineLvl w:val="2"/>
    </w:pPr>
    <w:rPr>
      <w:rFonts w:eastAsia="Times New Roman"/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left="720"/>
      <w:contextualSpacing/>
    </w:p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Заголовок 1 Знак"/>
    <w:basedOn w:val="6"/>
    <w:link w:val="2"/>
    <w:qFormat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10">
    <w:name w:val="Заголовок 2 Знак"/>
    <w:basedOn w:val="6"/>
    <w:link w:val="4"/>
    <w:qFormat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Book Title"/>
    <w:basedOn w:val="6"/>
    <w:qFormat/>
    <w:uiPriority w:val="33"/>
    <w:rPr>
      <w:b/>
      <w:bCs/>
      <w:i/>
      <w:iCs/>
      <w:spacing w:val="5"/>
    </w:rPr>
  </w:style>
  <w:style w:type="paragraph" w:customStyle="1" w:styleId="12">
    <w:name w:val="Картинка"/>
    <w:basedOn w:val="1"/>
    <w:link w:val="13"/>
    <w:qFormat/>
    <w:uiPriority w:val="0"/>
    <w:pPr>
      <w:keepNext/>
      <w:spacing w:after="0" w:line="240" w:lineRule="auto"/>
      <w:ind w:firstLine="0"/>
      <w:jc w:val="center"/>
    </w:pPr>
  </w:style>
  <w:style w:type="character" w:customStyle="1" w:styleId="13">
    <w:name w:val="Картинка Знак"/>
    <w:basedOn w:val="6"/>
    <w:link w:val="12"/>
    <w:uiPriority w:val="0"/>
    <w:rPr>
      <w:rFonts w:ascii="Times New Roman" w:hAnsi="Times New Roman" w:cs="Times New Roman"/>
      <w:sz w:val="24"/>
      <w:szCs w:val="24"/>
    </w:rPr>
  </w:style>
  <w:style w:type="character" w:customStyle="1" w:styleId="14">
    <w:name w:val="Заголовок 3 Знак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1422</Characters>
  <Lines>11</Lines>
  <Paragraphs>3</Paragraphs>
  <TotalTime>2748</TotalTime>
  <ScaleCrop>false</ScaleCrop>
  <LinksUpToDate>false</LinksUpToDate>
  <CharactersWithSpaces>1668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2025-02-26T14:33:00Z</dcterms:created>
  <dc:creator>Рустам Бурибаев</dc:creator>
  <cp:lastModifiedBy>ioffe</cp:lastModifiedBy>
  <dcterms:modified xsi:type="dcterms:W3CDTF">2025-03-03T14:00:54Z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9843A40ADD2B4EFC92E0D373D47B0B9A_13</vt:lpwstr>
  </property>
</Properties>
</file>