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77AC1" w14:textId="755C5821" w:rsidR="00D76D8E" w:rsidRPr="00900D7E" w:rsidRDefault="00900D7E" w:rsidP="00E10D37">
      <w:pPr>
        <w:pBdr>
          <w:top w:val="nil"/>
          <w:left w:val="nil"/>
          <w:bottom w:val="nil"/>
          <w:right w:val="nil"/>
          <w:between w:val="nil"/>
        </w:pBdr>
        <w:shd w:val="clear" w:color="auto" w:fill="FFFFFF"/>
        <w:rPr>
          <w:b/>
          <w:color w:val="000000"/>
        </w:rPr>
      </w:pPr>
      <w:r>
        <w:rPr>
          <w:b/>
          <w:color w:val="000000"/>
        </w:rPr>
        <w:t xml:space="preserve">Синтез </w:t>
      </w:r>
      <w:proofErr w:type="spellStart"/>
      <w:r>
        <w:rPr>
          <w:b/>
          <w:color w:val="000000"/>
        </w:rPr>
        <w:t>биядерного</w:t>
      </w:r>
      <w:proofErr w:type="spellEnd"/>
      <w:r>
        <w:rPr>
          <w:b/>
          <w:color w:val="000000"/>
        </w:rPr>
        <w:t xml:space="preserve"> комплекса на основе </w:t>
      </w:r>
      <w:proofErr w:type="gramStart"/>
      <w:r>
        <w:rPr>
          <w:b/>
          <w:color w:val="000000"/>
        </w:rPr>
        <w:t>кобальта</w:t>
      </w:r>
      <w:r w:rsidRPr="00900D7E">
        <w:rPr>
          <w:b/>
          <w:color w:val="000000"/>
        </w:rPr>
        <w:t>(</w:t>
      </w:r>
      <w:proofErr w:type="gramEnd"/>
      <w:r>
        <w:rPr>
          <w:b/>
          <w:color w:val="000000"/>
          <w:lang w:val="en-US"/>
        </w:rPr>
        <w:t>II</w:t>
      </w:r>
      <w:r w:rsidRPr="00900D7E">
        <w:rPr>
          <w:b/>
          <w:color w:val="000000"/>
        </w:rPr>
        <w:t>)</w:t>
      </w:r>
      <w:r>
        <w:rPr>
          <w:b/>
          <w:color w:val="000000"/>
        </w:rPr>
        <w:t xml:space="preserve"> и </w:t>
      </w:r>
      <w:r w:rsidRPr="00900D7E">
        <w:rPr>
          <w:b/>
        </w:rPr>
        <w:t>ди(</w:t>
      </w:r>
      <w:proofErr w:type="spellStart"/>
      <w:r w:rsidRPr="00900D7E">
        <w:rPr>
          <w:b/>
        </w:rPr>
        <w:t>трис</w:t>
      </w:r>
      <w:proofErr w:type="spellEnd"/>
      <w:r w:rsidRPr="00900D7E">
        <w:rPr>
          <w:b/>
        </w:rPr>
        <w:t>(</w:t>
      </w:r>
      <w:proofErr w:type="spellStart"/>
      <w:r w:rsidRPr="00900D7E">
        <w:rPr>
          <w:b/>
        </w:rPr>
        <w:t>пиразолил</w:t>
      </w:r>
      <w:proofErr w:type="spellEnd"/>
      <w:r w:rsidRPr="00900D7E">
        <w:rPr>
          <w:b/>
        </w:rPr>
        <w:t>)метана</w:t>
      </w:r>
    </w:p>
    <w:p w14:paraId="00000002" w14:textId="79DE13BD" w:rsidR="00130241" w:rsidRDefault="00D76D8E">
      <w:pPr>
        <w:pBdr>
          <w:top w:val="nil"/>
          <w:left w:val="nil"/>
          <w:bottom w:val="nil"/>
          <w:right w:val="nil"/>
          <w:between w:val="nil"/>
        </w:pBdr>
        <w:shd w:val="clear" w:color="auto" w:fill="FFFFFF"/>
        <w:jc w:val="center"/>
        <w:rPr>
          <w:color w:val="000000"/>
        </w:rPr>
      </w:pPr>
      <w:r>
        <w:rPr>
          <w:b/>
          <w:i/>
          <w:color w:val="000000"/>
        </w:rPr>
        <w:t>Торопов П.А</w:t>
      </w:r>
      <w:r w:rsidR="00DB7D78">
        <w:rPr>
          <w:b/>
          <w:i/>
          <w:color w:val="000000"/>
        </w:rPr>
        <w:t>.</w:t>
      </w:r>
      <w:r w:rsidR="00EB1F49">
        <w:rPr>
          <w:b/>
          <w:i/>
          <w:color w:val="000000"/>
        </w:rPr>
        <w:t>,</w:t>
      </w:r>
      <w:r w:rsidR="00EB1F49">
        <w:rPr>
          <w:b/>
          <w:i/>
          <w:color w:val="000000"/>
          <w:vertAlign w:val="superscript"/>
        </w:rPr>
        <w:t>1</w:t>
      </w:r>
      <w:r w:rsidR="004A4558">
        <w:rPr>
          <w:b/>
          <w:i/>
          <w:color w:val="000000"/>
          <w:vertAlign w:val="superscript"/>
        </w:rPr>
        <w:t>,2</w:t>
      </w:r>
      <w:r w:rsidR="00EB1F49">
        <w:rPr>
          <w:b/>
          <w:i/>
          <w:color w:val="000000"/>
        </w:rPr>
        <w:t xml:space="preserve"> </w:t>
      </w:r>
      <w:proofErr w:type="spellStart"/>
      <w:r w:rsidR="00DB7D78">
        <w:rPr>
          <w:b/>
          <w:i/>
          <w:color w:val="000000"/>
        </w:rPr>
        <w:t>Никовский</w:t>
      </w:r>
      <w:proofErr w:type="spellEnd"/>
      <w:r w:rsidR="00DB7D78">
        <w:rPr>
          <w:b/>
          <w:i/>
          <w:color w:val="000000"/>
        </w:rPr>
        <w:t xml:space="preserve"> И.А.,</w:t>
      </w:r>
      <w:r w:rsidR="00DB7D78">
        <w:rPr>
          <w:b/>
          <w:i/>
          <w:color w:val="000000"/>
          <w:vertAlign w:val="superscript"/>
        </w:rPr>
        <w:t>2</w:t>
      </w:r>
      <w:r w:rsidR="00DB7D78">
        <w:rPr>
          <w:b/>
          <w:i/>
          <w:color w:val="000000"/>
        </w:rPr>
        <w:t xml:space="preserve"> </w:t>
      </w:r>
      <w:r w:rsidRPr="00D76D8E">
        <w:rPr>
          <w:b/>
          <w:i/>
          <w:color w:val="000000"/>
        </w:rPr>
        <w:t>Нелюбина Ю</w:t>
      </w:r>
      <w:r>
        <w:rPr>
          <w:b/>
          <w:i/>
          <w:color w:val="000000"/>
        </w:rPr>
        <w:t>.</w:t>
      </w:r>
      <w:r w:rsidRPr="00D76D8E">
        <w:rPr>
          <w:b/>
          <w:i/>
          <w:color w:val="000000"/>
        </w:rPr>
        <w:t xml:space="preserve"> В</w:t>
      </w:r>
      <w:r>
        <w:rPr>
          <w:b/>
          <w:i/>
          <w:color w:val="000000"/>
        </w:rPr>
        <w:t>.</w:t>
      </w:r>
      <w:r w:rsidR="00EB1F49" w:rsidRPr="00BF4622">
        <w:rPr>
          <w:b/>
          <w:color w:val="000000"/>
        </w:rPr>
        <w:t xml:space="preserve"> </w:t>
      </w:r>
      <w:r w:rsidR="00143E20">
        <w:rPr>
          <w:b/>
          <w:i/>
          <w:color w:val="000000"/>
          <w:vertAlign w:val="superscript"/>
        </w:rPr>
        <w:t>2</w:t>
      </w:r>
    </w:p>
    <w:p w14:paraId="00000003" w14:textId="51584355" w:rsidR="00130241" w:rsidRDefault="00DB7D78">
      <w:pPr>
        <w:pBdr>
          <w:top w:val="nil"/>
          <w:left w:val="nil"/>
          <w:bottom w:val="nil"/>
          <w:right w:val="nil"/>
          <w:between w:val="nil"/>
        </w:pBdr>
        <w:shd w:val="clear" w:color="auto" w:fill="FFFFFF"/>
        <w:jc w:val="center"/>
        <w:rPr>
          <w:color w:val="000000"/>
        </w:rPr>
      </w:pPr>
      <w:r>
        <w:rPr>
          <w:i/>
          <w:color w:val="000000"/>
        </w:rPr>
        <w:t xml:space="preserve">Студент, </w:t>
      </w:r>
      <w:r w:rsidR="00E329DD">
        <w:rPr>
          <w:i/>
          <w:color w:val="000000"/>
        </w:rPr>
        <w:t>5</w:t>
      </w:r>
      <w:r w:rsidR="00EB1F49">
        <w:rPr>
          <w:i/>
          <w:color w:val="000000"/>
        </w:rPr>
        <w:t xml:space="preserve"> курс специалитета </w:t>
      </w:r>
    </w:p>
    <w:p w14:paraId="00000004" w14:textId="1FBD43D9" w:rsidR="00130241" w:rsidRPr="00921D45" w:rsidRDefault="00EB1F49">
      <w:pPr>
        <w:pBdr>
          <w:top w:val="nil"/>
          <w:left w:val="nil"/>
          <w:bottom w:val="nil"/>
          <w:right w:val="nil"/>
          <w:between w:val="nil"/>
        </w:pBdr>
        <w:shd w:val="clear" w:color="auto" w:fill="FFFFFF"/>
        <w:jc w:val="center"/>
        <w:rPr>
          <w:color w:val="000000"/>
        </w:rPr>
      </w:pPr>
      <w:r>
        <w:rPr>
          <w:i/>
          <w:color w:val="000000"/>
          <w:vertAlign w:val="superscript"/>
        </w:rPr>
        <w:t>1</w:t>
      </w:r>
      <w:r>
        <w:rPr>
          <w:i/>
          <w:color w:val="000000"/>
        </w:rPr>
        <w:t>Московский государственный университет имени М.В.</w:t>
      </w:r>
      <w:r w:rsidR="00921D45">
        <w:rPr>
          <w:i/>
          <w:color w:val="000000"/>
        </w:rPr>
        <w:t xml:space="preserve"> </w:t>
      </w:r>
      <w:r>
        <w:rPr>
          <w:i/>
          <w:color w:val="000000"/>
        </w:rPr>
        <w:t>Ломоносова, </w:t>
      </w:r>
    </w:p>
    <w:p w14:paraId="00000005" w14:textId="1A249D70" w:rsidR="00130241" w:rsidRPr="00391C38" w:rsidRDefault="00391C38">
      <w:pPr>
        <w:pBdr>
          <w:top w:val="nil"/>
          <w:left w:val="nil"/>
          <w:bottom w:val="nil"/>
          <w:right w:val="nil"/>
          <w:between w:val="nil"/>
        </w:pBdr>
        <w:shd w:val="clear" w:color="auto" w:fill="FFFFFF"/>
        <w:jc w:val="center"/>
        <w:rPr>
          <w:color w:val="000000"/>
        </w:rPr>
      </w:pPr>
      <w:r>
        <w:rPr>
          <w:i/>
          <w:color w:val="000000"/>
        </w:rPr>
        <w:t>химический</w:t>
      </w:r>
      <w:r w:rsidR="00EB1F49">
        <w:rPr>
          <w:i/>
          <w:color w:val="000000"/>
        </w:rPr>
        <w:t xml:space="preserve"> факультет, Москва, Россия</w:t>
      </w:r>
    </w:p>
    <w:p w14:paraId="00000007" w14:textId="1263D27C" w:rsidR="00130241" w:rsidRPr="000B506C" w:rsidRDefault="00EB1F49" w:rsidP="00DB7D78">
      <w:pPr>
        <w:pBdr>
          <w:top w:val="nil"/>
          <w:left w:val="nil"/>
          <w:bottom w:val="nil"/>
          <w:right w:val="nil"/>
          <w:between w:val="nil"/>
        </w:pBdr>
        <w:shd w:val="clear" w:color="auto" w:fill="FFFFFF"/>
        <w:jc w:val="center"/>
      </w:pPr>
      <w:r>
        <w:rPr>
          <w:i/>
          <w:color w:val="000000"/>
          <w:vertAlign w:val="superscript"/>
        </w:rPr>
        <w:t>2</w:t>
      </w:r>
      <w:r w:rsidR="00DB7D78">
        <w:rPr>
          <w:i/>
          <w:color w:val="000000"/>
        </w:rPr>
        <w:t>Институт элементорганических соединений имени А.Н. Несмеянова</w:t>
      </w:r>
      <w:r w:rsidR="004A4558">
        <w:rPr>
          <w:i/>
          <w:color w:val="000000"/>
        </w:rPr>
        <w:t xml:space="preserve"> Российской академии наук</w:t>
      </w:r>
      <w:r w:rsidR="00DB7D78">
        <w:rPr>
          <w:i/>
          <w:color w:val="000000"/>
        </w:rPr>
        <w:t xml:space="preserve">, </w:t>
      </w:r>
      <w:r w:rsidR="00DB7D78" w:rsidRPr="000B506C">
        <w:rPr>
          <w:i/>
        </w:rPr>
        <w:t>Москва, Россия</w:t>
      </w:r>
    </w:p>
    <w:p w14:paraId="28E0A043" w14:textId="1A58F793" w:rsidR="00B9768C" w:rsidRPr="000B506C" w:rsidRDefault="00EB1F49" w:rsidP="00B30246">
      <w:pPr>
        <w:pBdr>
          <w:top w:val="nil"/>
          <w:left w:val="nil"/>
          <w:bottom w:val="nil"/>
          <w:right w:val="nil"/>
          <w:between w:val="nil"/>
        </w:pBdr>
        <w:shd w:val="clear" w:color="auto" w:fill="FFFFFF"/>
        <w:jc w:val="center"/>
        <w:rPr>
          <w:i/>
          <w:u w:val="single"/>
        </w:rPr>
      </w:pPr>
      <w:r w:rsidRPr="000B506C">
        <w:rPr>
          <w:i/>
        </w:rPr>
        <w:t>E</w:t>
      </w:r>
      <w:r w:rsidR="003B76D6" w:rsidRPr="000B506C">
        <w:rPr>
          <w:i/>
        </w:rPr>
        <w:t>-</w:t>
      </w:r>
      <w:r w:rsidRPr="000B506C">
        <w:rPr>
          <w:i/>
        </w:rPr>
        <w:t xml:space="preserve">mail: </w:t>
      </w:r>
      <w:hyperlink r:id="rId6" w:history="1">
        <w:r w:rsidR="00D76D8E" w:rsidRPr="000B506C">
          <w:rPr>
            <w:rStyle w:val="a9"/>
            <w:i/>
            <w:color w:val="auto"/>
            <w:lang w:val="en-US"/>
          </w:rPr>
          <w:t>ptoropov</w:t>
        </w:r>
        <w:r w:rsidR="00D76D8E" w:rsidRPr="000B506C">
          <w:rPr>
            <w:rStyle w:val="a9"/>
            <w:i/>
            <w:color w:val="auto"/>
          </w:rPr>
          <w:t>02@</w:t>
        </w:r>
        <w:r w:rsidR="00D76D8E" w:rsidRPr="000B506C">
          <w:rPr>
            <w:rStyle w:val="a9"/>
            <w:i/>
            <w:color w:val="auto"/>
            <w:lang w:val="en-US"/>
          </w:rPr>
          <w:t>mail</w:t>
        </w:r>
        <w:r w:rsidR="00D76D8E" w:rsidRPr="000B506C">
          <w:rPr>
            <w:rStyle w:val="a9"/>
            <w:i/>
            <w:color w:val="auto"/>
          </w:rPr>
          <w:t>.</w:t>
        </w:r>
        <w:r w:rsidR="00D76D8E" w:rsidRPr="000B506C">
          <w:rPr>
            <w:rStyle w:val="a9"/>
            <w:i/>
            <w:color w:val="auto"/>
            <w:lang w:val="en-US"/>
          </w:rPr>
          <w:t>ru</w:t>
        </w:r>
      </w:hyperlink>
    </w:p>
    <w:p w14:paraId="785B6ACA" w14:textId="211DAE5E" w:rsidR="00C25BCB" w:rsidRDefault="00B9768C" w:rsidP="000B506C">
      <w:pPr>
        <w:pBdr>
          <w:top w:val="nil"/>
          <w:left w:val="nil"/>
          <w:bottom w:val="nil"/>
          <w:right w:val="nil"/>
          <w:between w:val="nil"/>
        </w:pBdr>
        <w:shd w:val="clear" w:color="auto" w:fill="FFFFFF"/>
        <w:ind w:firstLine="397"/>
        <w:jc w:val="both"/>
        <w:rPr>
          <w:color w:val="FF0000"/>
        </w:rPr>
      </w:pPr>
      <w:r w:rsidRPr="000B506C">
        <w:t xml:space="preserve">Современные исследования в области молекулярного магнетизма направлены на поиск и разработку новых соединений с управляемыми магнитными </w:t>
      </w:r>
      <w:r w:rsidRPr="00B9768C">
        <w:t>свойствами, среди которых особый интерес представляют комплексы переходных металлов.</w:t>
      </w:r>
      <w:r>
        <w:t xml:space="preserve"> </w:t>
      </w:r>
      <w:r w:rsidRPr="00B9768C">
        <w:t xml:space="preserve">Такие соединения демонстрируют поведение </w:t>
      </w:r>
      <w:proofErr w:type="spellStart"/>
      <w:r w:rsidRPr="00B9768C">
        <w:t>одноионных</w:t>
      </w:r>
      <w:proofErr w:type="spellEnd"/>
      <w:r w:rsidRPr="00B9768C">
        <w:t xml:space="preserve"> магнитов (SIM) и </w:t>
      </w:r>
      <w:r w:rsidR="00297CB0">
        <w:t xml:space="preserve">имеют </w:t>
      </w:r>
      <w:r w:rsidRPr="00B9768C">
        <w:t xml:space="preserve">перспективны для применения в </w:t>
      </w:r>
      <w:proofErr w:type="spellStart"/>
      <w:r w:rsidRPr="00B9768C">
        <w:t>спинтронике</w:t>
      </w:r>
      <w:proofErr w:type="spellEnd"/>
      <w:r w:rsidRPr="00B9768C">
        <w:t>, квантовых вычислениях и создании молекулярных запоминающих устройств</w:t>
      </w:r>
      <w:r w:rsidR="00B30246" w:rsidRPr="00B30246">
        <w:t xml:space="preserve"> </w:t>
      </w:r>
      <w:sdt>
        <w:sdtPr>
          <w:rPr>
            <w:color w:val="000000"/>
          </w:rPr>
          <w:tag w:val="MENDELEY_CITATION_v3_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"/>
          <w:id w:val="1145712022"/>
          <w:placeholder>
            <w:docPart w:val="DefaultPlaceholder_-1854013440"/>
          </w:placeholder>
        </w:sdtPr>
        <w:sdtContent>
          <w:r w:rsidR="00160C2E" w:rsidRPr="00160C2E">
            <w:rPr>
              <w:color w:val="000000"/>
            </w:rPr>
            <w:t>[1,2]</w:t>
          </w:r>
        </w:sdtContent>
      </w:sdt>
      <w:r>
        <w:t>. При этом в</w:t>
      </w:r>
      <w:r w:rsidRPr="00B9768C">
        <w:t>ажную роль играет влияние кристаллического поля, спин-орбитального взаимодействия и геометрии комплекса на процессы магнитной релаксации.</w:t>
      </w:r>
      <w:r>
        <w:t xml:space="preserve"> </w:t>
      </w:r>
      <w:r w:rsidRPr="00B9768C">
        <w:t>Среди различных классов соединений особый интерес вызывают кобальтовые комплексы с трис-</w:t>
      </w:r>
      <w:proofErr w:type="spellStart"/>
      <w:r w:rsidRPr="00B9768C">
        <w:t>пиразолил</w:t>
      </w:r>
      <w:proofErr w:type="spellEnd"/>
      <w:r w:rsidRPr="00B9768C">
        <w:t>-метановыми (TPM) лигандами, обладающие высокой структурной гибкостью</w:t>
      </w:r>
      <w:r>
        <w:t xml:space="preserve">, </w:t>
      </w:r>
      <w:r w:rsidRPr="00B9768C">
        <w:t>и выраженной магнитной анизотропии</w:t>
      </w:r>
      <w:r>
        <w:t xml:space="preserve"> благодаря </w:t>
      </w:r>
      <w:proofErr w:type="spellStart"/>
      <w:r>
        <w:t>антипризматичной</w:t>
      </w:r>
      <w:proofErr w:type="spellEnd"/>
      <w:r>
        <w:t xml:space="preserve"> геометрии. </w:t>
      </w:r>
      <w:r w:rsidR="00297CB0">
        <w:t xml:space="preserve">Однако, на данный момент, </w:t>
      </w:r>
      <w:proofErr w:type="spellStart"/>
      <w:r w:rsidR="00297CB0">
        <w:t>полиядерные</w:t>
      </w:r>
      <w:proofErr w:type="spellEnd"/>
      <w:r w:rsidR="00297CB0">
        <w:t xml:space="preserve"> комплексы </w:t>
      </w:r>
      <w:proofErr w:type="gramStart"/>
      <w:r w:rsidR="00297CB0">
        <w:t>кобальта(</w:t>
      </w:r>
      <w:proofErr w:type="gramEnd"/>
      <w:r w:rsidR="00297CB0">
        <w:rPr>
          <w:lang w:val="en-GB"/>
        </w:rPr>
        <w:t>II</w:t>
      </w:r>
      <w:r w:rsidR="00297CB0">
        <w:t xml:space="preserve">) на основе </w:t>
      </w:r>
      <w:r w:rsidR="00297CB0" w:rsidRPr="00B9768C">
        <w:t>TPM</w:t>
      </w:r>
      <w:r w:rsidR="00297CB0">
        <w:t xml:space="preserve"> практически не изучены</w:t>
      </w:r>
      <w:r w:rsidR="00297CB0">
        <w:rPr>
          <w:rFonts w:eastAsiaTheme="minorEastAsia"/>
          <w:lang w:eastAsia="zh-CN"/>
        </w:rPr>
        <w:t>, так как отсутствуют синтетические подходы к их</w:t>
      </w:r>
      <w:r w:rsidR="00A01DD6">
        <w:rPr>
          <w:rFonts w:eastAsiaTheme="minorEastAsia"/>
          <w:lang w:eastAsia="zh-CN"/>
        </w:rPr>
        <w:t xml:space="preserve"> селективному</w:t>
      </w:r>
      <w:r w:rsidR="00297CB0">
        <w:rPr>
          <w:rFonts w:eastAsiaTheme="minorEastAsia"/>
          <w:lang w:eastAsia="zh-CN"/>
        </w:rPr>
        <w:t xml:space="preserve"> получению. </w:t>
      </w:r>
      <w:r w:rsidR="00297CB0" w:rsidRPr="00297CB0">
        <w:rPr>
          <w:rFonts w:eastAsiaTheme="minorEastAsia"/>
          <w:lang w:eastAsia="zh-CN"/>
        </w:rPr>
        <w:t xml:space="preserve">В данной работе предложен новый метод синтеза </w:t>
      </w:r>
      <w:proofErr w:type="spellStart"/>
      <w:r w:rsidR="00297CB0" w:rsidRPr="00297CB0">
        <w:rPr>
          <w:rFonts w:eastAsiaTheme="minorEastAsia"/>
          <w:lang w:eastAsia="zh-CN"/>
        </w:rPr>
        <w:t>биядерных</w:t>
      </w:r>
      <w:proofErr w:type="spellEnd"/>
      <w:r w:rsidR="00297CB0" w:rsidRPr="00297CB0">
        <w:rPr>
          <w:rFonts w:eastAsiaTheme="minorEastAsia"/>
          <w:lang w:eastAsia="zh-CN"/>
        </w:rPr>
        <w:t xml:space="preserve"> комплексов с TPM-лигандами, в структуре которых присутствуют два </w:t>
      </w:r>
      <w:proofErr w:type="spellStart"/>
      <w:r w:rsidR="00297CB0" w:rsidRPr="00297CB0">
        <w:rPr>
          <w:rFonts w:eastAsiaTheme="minorEastAsia"/>
          <w:lang w:eastAsia="zh-CN"/>
        </w:rPr>
        <w:t>трис</w:t>
      </w:r>
      <w:proofErr w:type="spellEnd"/>
      <w:r w:rsidR="00297CB0" w:rsidRPr="00297CB0">
        <w:rPr>
          <w:rFonts w:eastAsiaTheme="minorEastAsia"/>
          <w:lang w:eastAsia="zh-CN"/>
        </w:rPr>
        <w:t>(</w:t>
      </w:r>
      <w:proofErr w:type="spellStart"/>
      <w:r w:rsidR="00297CB0" w:rsidRPr="00297CB0">
        <w:rPr>
          <w:rFonts w:eastAsiaTheme="minorEastAsia"/>
          <w:lang w:eastAsia="zh-CN"/>
        </w:rPr>
        <w:t>пиразолил</w:t>
      </w:r>
      <w:proofErr w:type="spellEnd"/>
      <w:r w:rsidR="00297CB0" w:rsidRPr="00297CB0">
        <w:rPr>
          <w:rFonts w:eastAsiaTheme="minorEastAsia"/>
          <w:lang w:eastAsia="zh-CN"/>
        </w:rPr>
        <w:t>)метановых фрагмента (схема 1).</w:t>
      </w:r>
      <w:r w:rsidR="00297CB0">
        <w:rPr>
          <w:color w:val="FF0000"/>
        </w:rPr>
        <w:t xml:space="preserve"> </w:t>
      </w:r>
    </w:p>
    <w:p w14:paraId="7E3985E5" w14:textId="1223499F" w:rsidR="00297CB0" w:rsidRPr="00C25BCB" w:rsidRDefault="00C25BCB" w:rsidP="000B506C">
      <w:pPr>
        <w:pBdr>
          <w:top w:val="nil"/>
          <w:left w:val="nil"/>
          <w:bottom w:val="nil"/>
          <w:right w:val="nil"/>
          <w:between w:val="nil"/>
        </w:pBdr>
        <w:shd w:val="clear" w:color="auto" w:fill="FFFFFF"/>
        <w:ind w:firstLine="397"/>
        <w:jc w:val="both"/>
        <w:rPr>
          <w:color w:val="FF0000"/>
        </w:rPr>
      </w:pPr>
      <w:r>
        <w:rPr>
          <w:noProof/>
        </w:rPr>
        <w:drawing>
          <wp:anchor distT="0" distB="0" distL="114300" distR="114300" simplePos="0" relativeHeight="251658240" behindDoc="0" locked="0" layoutInCell="1" allowOverlap="1" wp14:anchorId="77F68701" wp14:editId="02C963F3">
            <wp:simplePos x="0" y="0"/>
            <wp:positionH relativeFrom="margin">
              <wp:posOffset>4135755</wp:posOffset>
            </wp:positionH>
            <wp:positionV relativeFrom="paragraph">
              <wp:posOffset>858636</wp:posOffset>
            </wp:positionV>
            <wp:extent cx="1680603" cy="913863"/>
            <wp:effectExtent l="0" t="0" r="0" b="635"/>
            <wp:wrapNone/>
            <wp:docPr id="1" name="Рисунок 1" descr="C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0603" cy="9138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3A7F">
        <w:rPr>
          <w:color w:val="FF0000"/>
        </w:rPr>
        <w:br/>
      </w:r>
      <w:r>
        <w:rPr>
          <w:b/>
          <w:bCs/>
          <w:i/>
          <w:iCs/>
          <w:noProof/>
          <w:sz w:val="22"/>
          <w:szCs w:val="22"/>
        </w:rPr>
        <w:drawing>
          <wp:inline distT="0" distB="0" distL="0" distR="0" wp14:anchorId="6FA76025" wp14:editId="4ADB2F5B">
            <wp:extent cx="4577222" cy="2299099"/>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1957" cy="2326592"/>
                    </a:xfrm>
                    <a:prstGeom prst="rect">
                      <a:avLst/>
                    </a:prstGeom>
                    <a:noFill/>
                    <a:ln>
                      <a:noFill/>
                    </a:ln>
                  </pic:spPr>
                </pic:pic>
              </a:graphicData>
            </a:graphic>
          </wp:inline>
        </w:drawing>
      </w:r>
    </w:p>
    <w:p w14:paraId="66304E08" w14:textId="2B500F47" w:rsidR="00FA3AB7" w:rsidRPr="000B506C" w:rsidRDefault="00297CB0" w:rsidP="00E10D37">
      <w:pPr>
        <w:pBdr>
          <w:top w:val="nil"/>
          <w:left w:val="nil"/>
          <w:bottom w:val="nil"/>
          <w:right w:val="nil"/>
          <w:between w:val="nil"/>
        </w:pBdr>
        <w:shd w:val="clear" w:color="auto" w:fill="FFFFFF"/>
        <w:ind w:firstLine="397"/>
        <w:jc w:val="center"/>
        <w:rPr>
          <w:rFonts w:eastAsiaTheme="minorEastAsia"/>
          <w:lang w:eastAsia="zh-CN"/>
        </w:rPr>
      </w:pPr>
      <w:r w:rsidRPr="000B506C">
        <w:t>Схема 1.</w:t>
      </w:r>
      <w:r w:rsidR="000B506C" w:rsidRPr="000B506C">
        <w:rPr>
          <w:rFonts w:eastAsiaTheme="minorEastAsia"/>
          <w:lang w:eastAsia="zh-CN"/>
        </w:rPr>
        <w:t xml:space="preserve"> Метод синтеза </w:t>
      </w:r>
      <w:proofErr w:type="spellStart"/>
      <w:r w:rsidR="000B506C" w:rsidRPr="000B506C">
        <w:rPr>
          <w:rFonts w:eastAsiaTheme="minorEastAsia"/>
          <w:lang w:eastAsia="zh-CN"/>
        </w:rPr>
        <w:t>биядерных</w:t>
      </w:r>
      <w:proofErr w:type="spellEnd"/>
      <w:r w:rsidR="000B506C" w:rsidRPr="000B506C">
        <w:rPr>
          <w:rFonts w:eastAsiaTheme="minorEastAsia"/>
          <w:lang w:eastAsia="zh-CN"/>
        </w:rPr>
        <w:t xml:space="preserve"> комплексов с TPM-лигандами</w:t>
      </w:r>
    </w:p>
    <w:p w14:paraId="1F302D7F" w14:textId="31EE696C" w:rsidR="00C076E2" w:rsidRDefault="00A01DD6" w:rsidP="00EE2AE8">
      <w:pPr>
        <w:pBdr>
          <w:top w:val="nil"/>
          <w:left w:val="nil"/>
          <w:bottom w:val="nil"/>
          <w:right w:val="nil"/>
          <w:between w:val="nil"/>
        </w:pBdr>
        <w:shd w:val="clear" w:color="auto" w:fill="FFFFFF"/>
        <w:ind w:firstLine="397"/>
        <w:jc w:val="both"/>
      </w:pPr>
      <w:r w:rsidRPr="00A01DD6">
        <w:rPr>
          <w:bCs/>
        </w:rPr>
        <w:t xml:space="preserve">Для синтеза </w:t>
      </w:r>
      <w:proofErr w:type="spellStart"/>
      <w:r w:rsidRPr="00A01DD6">
        <w:rPr>
          <w:bCs/>
        </w:rPr>
        <w:t>биядерных</w:t>
      </w:r>
      <w:proofErr w:type="spellEnd"/>
      <w:r w:rsidRPr="00A01DD6">
        <w:rPr>
          <w:bCs/>
        </w:rPr>
        <w:t xml:space="preserve"> комплексов в качестве исходного соединения был выбран </w:t>
      </w:r>
      <w:proofErr w:type="spellStart"/>
      <w:r w:rsidRPr="00A01DD6">
        <w:rPr>
          <w:bCs/>
        </w:rPr>
        <w:t>трис</w:t>
      </w:r>
      <w:proofErr w:type="spellEnd"/>
      <w:r w:rsidRPr="00A01DD6">
        <w:rPr>
          <w:bCs/>
        </w:rPr>
        <w:t>(</w:t>
      </w:r>
      <w:proofErr w:type="spellStart"/>
      <w:r w:rsidRPr="00A01DD6">
        <w:rPr>
          <w:bCs/>
        </w:rPr>
        <w:t>пиразолил</w:t>
      </w:r>
      <w:proofErr w:type="spellEnd"/>
      <w:r w:rsidRPr="00A01DD6">
        <w:rPr>
          <w:bCs/>
        </w:rPr>
        <w:t xml:space="preserve">)метановый комплекс </w:t>
      </w:r>
      <w:proofErr w:type="gramStart"/>
      <w:r w:rsidRPr="00A01DD6">
        <w:rPr>
          <w:bCs/>
        </w:rPr>
        <w:t>кобальта(</w:t>
      </w:r>
      <w:proofErr w:type="gramEnd"/>
      <w:r w:rsidRPr="00A01DD6">
        <w:rPr>
          <w:bCs/>
        </w:rPr>
        <w:t>II) с соотношением металл/лиганд 1:1, что предотвращает образование координационного полимера. Получение таких комплексов возможн</w:t>
      </w:r>
      <w:r>
        <w:rPr>
          <w:bCs/>
        </w:rPr>
        <w:t>о</w:t>
      </w:r>
      <w:r w:rsidRPr="00A01DD6">
        <w:rPr>
          <w:bCs/>
        </w:rPr>
        <w:t xml:space="preserve"> благодаря стерической защите метильными группами, обеспечивающей высокие выходы.</w:t>
      </w:r>
    </w:p>
    <w:p w14:paraId="3486C755" w14:textId="6F4C540D" w:rsidR="00116478" w:rsidRDefault="00A01DD6" w:rsidP="00EE2AE8">
      <w:pPr>
        <w:pBdr>
          <w:top w:val="nil"/>
          <w:left w:val="nil"/>
          <w:bottom w:val="nil"/>
          <w:right w:val="nil"/>
          <w:between w:val="nil"/>
        </w:pBdr>
        <w:shd w:val="clear" w:color="auto" w:fill="FFFFFF"/>
        <w:ind w:firstLine="397"/>
        <w:jc w:val="both"/>
      </w:pPr>
      <w:r>
        <w:t xml:space="preserve">Полученный </w:t>
      </w:r>
      <w:proofErr w:type="spellStart"/>
      <w:r>
        <w:t>биядерный</w:t>
      </w:r>
      <w:proofErr w:type="spellEnd"/>
      <w:r>
        <w:t xml:space="preserve"> комплекс </w:t>
      </w:r>
      <w:proofErr w:type="gramStart"/>
      <w:r>
        <w:t>к</w:t>
      </w:r>
      <w:r w:rsidRPr="00A01DD6">
        <w:t>о</w:t>
      </w:r>
      <w:r>
        <w:t>бальта(</w:t>
      </w:r>
      <w:proofErr w:type="gramEnd"/>
      <w:r>
        <w:rPr>
          <w:lang w:val="en-GB"/>
        </w:rPr>
        <w:t>II</w:t>
      </w:r>
      <w:r>
        <w:t>)</w:t>
      </w:r>
      <w:r w:rsidRPr="00A01DD6">
        <w:t xml:space="preserve"> был тщательно охарактеризован с использованием элементного анализа, спектроскопии ядерного магнитного резонанса, рентгеноструктурного анализа, магнитометрии и ЭПР-спектроскопии. </w:t>
      </w:r>
    </w:p>
    <w:p w14:paraId="26CAA6C7" w14:textId="3843B8DD" w:rsidR="00160C2E" w:rsidRPr="000B506C" w:rsidRDefault="00B30246" w:rsidP="00E10D37">
      <w:pPr>
        <w:pBdr>
          <w:top w:val="nil"/>
          <w:left w:val="nil"/>
          <w:bottom w:val="nil"/>
          <w:right w:val="nil"/>
          <w:between w:val="nil"/>
        </w:pBdr>
        <w:shd w:val="clear" w:color="auto" w:fill="FFFFFF"/>
        <w:jc w:val="center"/>
        <w:rPr>
          <w:b/>
          <w:bCs/>
          <w:lang w:val="en-US"/>
        </w:rPr>
      </w:pPr>
      <w:r w:rsidRPr="00B30246">
        <w:rPr>
          <w:b/>
          <w:bCs/>
        </w:rPr>
        <w:t>Литература</w:t>
      </w:r>
    </w:p>
    <w:p w14:paraId="7A85E401" w14:textId="01352166" w:rsidR="00B30246" w:rsidRPr="00160C2E" w:rsidRDefault="00160C2E" w:rsidP="000B506C">
      <w:pPr>
        <w:pBdr>
          <w:top w:val="nil"/>
          <w:left w:val="nil"/>
          <w:bottom w:val="nil"/>
          <w:right w:val="nil"/>
          <w:between w:val="nil"/>
        </w:pBdr>
        <w:shd w:val="clear" w:color="auto" w:fill="FFFFFF"/>
        <w:jc w:val="both"/>
        <w:rPr>
          <w:lang w:val="en-US"/>
        </w:rPr>
      </w:pPr>
      <w:r>
        <w:rPr>
          <w:lang w:val="en-US"/>
        </w:rPr>
        <w:t>1.</w:t>
      </w:r>
      <w:r w:rsidRPr="00160C2E">
        <w:rPr>
          <w:lang w:val="en-US"/>
        </w:rPr>
        <w:t xml:space="preserve">  Senthil Kumar K., Ruben M. Emerging trends in spin crossover based functional materials and devices // Coordination Chemistry Reviews. Elsevier B.V., 2017. Vol. 346. P. 176–205.</w:t>
      </w:r>
    </w:p>
    <w:p w14:paraId="022ED3D7" w14:textId="27105558" w:rsidR="00160C2E" w:rsidRPr="00160C2E" w:rsidRDefault="00160C2E" w:rsidP="000B506C">
      <w:pPr>
        <w:pBdr>
          <w:top w:val="nil"/>
          <w:left w:val="nil"/>
          <w:bottom w:val="nil"/>
          <w:right w:val="nil"/>
          <w:between w:val="nil"/>
        </w:pBdr>
        <w:shd w:val="clear" w:color="auto" w:fill="FFFFFF"/>
        <w:jc w:val="both"/>
        <w:rPr>
          <w:lang w:val="en-US"/>
        </w:rPr>
      </w:pPr>
      <w:r>
        <w:rPr>
          <w:lang w:val="en-US"/>
        </w:rPr>
        <w:t>2.</w:t>
      </w:r>
      <w:r w:rsidRPr="00160C2E">
        <w:rPr>
          <w:lang w:val="en-US"/>
        </w:rPr>
        <w:t xml:space="preserve">  Hayami S., Holmes S.M., Halcrow M.A. Spin-state switches in molecular materials chemistry // Journal of Materials Chemistry C. Royal Society of Chemistry, 2015. Vol. 3, № 30. P. 7775–7778.</w:t>
      </w:r>
    </w:p>
    <w:sectPr w:rsidR="00160C2E" w:rsidRPr="00160C2E">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20DA8"/>
    <w:multiLevelType w:val="hybridMultilevel"/>
    <w:tmpl w:val="2C52C2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7E6698"/>
    <w:multiLevelType w:val="hybridMultilevel"/>
    <w:tmpl w:val="5E565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EC3C49"/>
    <w:multiLevelType w:val="hybridMultilevel"/>
    <w:tmpl w:val="92147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617EF8"/>
    <w:multiLevelType w:val="hybridMultilevel"/>
    <w:tmpl w:val="06703832"/>
    <w:lvl w:ilvl="0" w:tplc="C55001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2C4F56"/>
    <w:multiLevelType w:val="hybridMultilevel"/>
    <w:tmpl w:val="247E60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4736679">
    <w:abstractNumId w:val="4"/>
  </w:num>
  <w:num w:numId="2" w16cid:durableId="768089195">
    <w:abstractNumId w:val="5"/>
  </w:num>
  <w:num w:numId="3" w16cid:durableId="1459493306">
    <w:abstractNumId w:val="3"/>
  </w:num>
  <w:num w:numId="4" w16cid:durableId="2108840105">
    <w:abstractNumId w:val="1"/>
  </w:num>
  <w:num w:numId="5" w16cid:durableId="1740205079">
    <w:abstractNumId w:val="0"/>
  </w:num>
  <w:num w:numId="6" w16cid:durableId="494417177">
    <w:abstractNumId w:val="6"/>
  </w:num>
  <w:num w:numId="7" w16cid:durableId="948901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41"/>
    <w:rsid w:val="0000051A"/>
    <w:rsid w:val="00063966"/>
    <w:rsid w:val="00086081"/>
    <w:rsid w:val="000B506C"/>
    <w:rsid w:val="000C50BE"/>
    <w:rsid w:val="000D1DF6"/>
    <w:rsid w:val="00101A1C"/>
    <w:rsid w:val="00106375"/>
    <w:rsid w:val="00106F9A"/>
    <w:rsid w:val="00116478"/>
    <w:rsid w:val="00130241"/>
    <w:rsid w:val="00143E20"/>
    <w:rsid w:val="00160C2E"/>
    <w:rsid w:val="001E61C2"/>
    <w:rsid w:val="001F0493"/>
    <w:rsid w:val="002264EE"/>
    <w:rsid w:val="0023307C"/>
    <w:rsid w:val="00243EB4"/>
    <w:rsid w:val="00297CB0"/>
    <w:rsid w:val="002C5125"/>
    <w:rsid w:val="002F0CEF"/>
    <w:rsid w:val="0031361E"/>
    <w:rsid w:val="00321409"/>
    <w:rsid w:val="00391C38"/>
    <w:rsid w:val="003B76D6"/>
    <w:rsid w:val="003C741B"/>
    <w:rsid w:val="004221C9"/>
    <w:rsid w:val="00433A7F"/>
    <w:rsid w:val="00441CCC"/>
    <w:rsid w:val="00477429"/>
    <w:rsid w:val="004A26A3"/>
    <w:rsid w:val="004A4558"/>
    <w:rsid w:val="004B1E81"/>
    <w:rsid w:val="004F0EDF"/>
    <w:rsid w:val="00522BF1"/>
    <w:rsid w:val="00590166"/>
    <w:rsid w:val="005D53E1"/>
    <w:rsid w:val="006C5323"/>
    <w:rsid w:val="006C68F4"/>
    <w:rsid w:val="006F7A19"/>
    <w:rsid w:val="0071014A"/>
    <w:rsid w:val="00775389"/>
    <w:rsid w:val="00797838"/>
    <w:rsid w:val="007C36D8"/>
    <w:rsid w:val="007F2744"/>
    <w:rsid w:val="0081116F"/>
    <w:rsid w:val="00880C7D"/>
    <w:rsid w:val="008931BE"/>
    <w:rsid w:val="00900D7E"/>
    <w:rsid w:val="00921D45"/>
    <w:rsid w:val="009A66DB"/>
    <w:rsid w:val="009B2F80"/>
    <w:rsid w:val="009B3300"/>
    <w:rsid w:val="009F3380"/>
    <w:rsid w:val="00A01DD6"/>
    <w:rsid w:val="00A02163"/>
    <w:rsid w:val="00A314FE"/>
    <w:rsid w:val="00A67197"/>
    <w:rsid w:val="00B30246"/>
    <w:rsid w:val="00B74036"/>
    <w:rsid w:val="00B9768C"/>
    <w:rsid w:val="00BE0FC5"/>
    <w:rsid w:val="00BF36F8"/>
    <w:rsid w:val="00BF4622"/>
    <w:rsid w:val="00C076E2"/>
    <w:rsid w:val="00C25BCB"/>
    <w:rsid w:val="00C52965"/>
    <w:rsid w:val="00CD00B1"/>
    <w:rsid w:val="00D22306"/>
    <w:rsid w:val="00D42542"/>
    <w:rsid w:val="00D66290"/>
    <w:rsid w:val="00D76D8E"/>
    <w:rsid w:val="00D8121C"/>
    <w:rsid w:val="00DB7D78"/>
    <w:rsid w:val="00DC418C"/>
    <w:rsid w:val="00DF48CF"/>
    <w:rsid w:val="00E10D37"/>
    <w:rsid w:val="00E2148F"/>
    <w:rsid w:val="00E22189"/>
    <w:rsid w:val="00E329DD"/>
    <w:rsid w:val="00E74069"/>
    <w:rsid w:val="00EB1F49"/>
    <w:rsid w:val="00EE2AE8"/>
    <w:rsid w:val="00EE3444"/>
    <w:rsid w:val="00F328A6"/>
    <w:rsid w:val="00F865B3"/>
    <w:rsid w:val="00FA3AB7"/>
    <w:rsid w:val="00FB1509"/>
    <w:rsid w:val="00FD3C0C"/>
    <w:rsid w:val="00FF1903"/>
    <w:rsid w:val="00FF62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4AF45FE3-68FB-428C-838C-EFC9E998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paragraph" w:styleId="aa">
    <w:name w:val="Balloon Text"/>
    <w:basedOn w:val="a"/>
    <w:link w:val="ab"/>
    <w:uiPriority w:val="99"/>
    <w:semiHidden/>
    <w:unhideWhenUsed/>
    <w:rsid w:val="00DB7D78"/>
    <w:rPr>
      <w:rFonts w:ascii="Tahoma" w:hAnsi="Tahoma" w:cs="Tahoma"/>
      <w:sz w:val="16"/>
      <w:szCs w:val="16"/>
    </w:rPr>
  </w:style>
  <w:style w:type="character" w:customStyle="1" w:styleId="ab">
    <w:name w:val="Текст выноски Знак"/>
    <w:basedOn w:val="a0"/>
    <w:link w:val="aa"/>
    <w:uiPriority w:val="99"/>
    <w:semiHidden/>
    <w:rsid w:val="00DB7D78"/>
    <w:rPr>
      <w:rFonts w:ascii="Tahoma" w:eastAsia="Times New Roman" w:hAnsi="Tahoma" w:cs="Tahoma"/>
      <w:sz w:val="16"/>
      <w:szCs w:val="16"/>
    </w:rPr>
  </w:style>
  <w:style w:type="character" w:styleId="ac">
    <w:name w:val="Unresolved Mention"/>
    <w:basedOn w:val="a0"/>
    <w:uiPriority w:val="99"/>
    <w:semiHidden/>
    <w:unhideWhenUsed/>
    <w:rsid w:val="00D76D8E"/>
    <w:rPr>
      <w:color w:val="605E5C"/>
      <w:shd w:val="clear" w:color="auto" w:fill="E1DFDD"/>
    </w:rPr>
  </w:style>
  <w:style w:type="paragraph" w:styleId="ad">
    <w:name w:val="Normal (Web)"/>
    <w:basedOn w:val="a"/>
    <w:link w:val="ae"/>
    <w:uiPriority w:val="99"/>
    <w:unhideWhenUsed/>
    <w:rsid w:val="00FA3AB7"/>
    <w:pPr>
      <w:spacing w:before="100" w:beforeAutospacing="1" w:after="100" w:afterAutospacing="1"/>
    </w:pPr>
  </w:style>
  <w:style w:type="character" w:customStyle="1" w:styleId="ae">
    <w:name w:val="Обычный (Интернет) Знак"/>
    <w:link w:val="ad"/>
    <w:uiPriority w:val="99"/>
    <w:locked/>
    <w:rsid w:val="00DC418C"/>
    <w:rPr>
      <w:rFonts w:ascii="Times New Roman" w:eastAsia="Times New Roman" w:hAnsi="Times New Roman" w:cs="Times New Roman"/>
      <w:sz w:val="24"/>
      <w:szCs w:val="24"/>
    </w:rPr>
  </w:style>
  <w:style w:type="paragraph" w:styleId="af">
    <w:name w:val="header"/>
    <w:basedOn w:val="a"/>
    <w:link w:val="af0"/>
    <w:uiPriority w:val="99"/>
    <w:rsid w:val="00DC418C"/>
    <w:pPr>
      <w:tabs>
        <w:tab w:val="center" w:pos="4677"/>
        <w:tab w:val="right" w:pos="9355"/>
      </w:tabs>
      <w:spacing w:after="160" w:line="259" w:lineRule="auto"/>
    </w:pPr>
    <w:rPr>
      <w:rFonts w:ascii="Calibri" w:eastAsiaTheme="minorEastAsia" w:hAnsi="Calibri"/>
      <w:sz w:val="22"/>
      <w:szCs w:val="22"/>
      <w:lang w:eastAsia="en-US"/>
    </w:rPr>
  </w:style>
  <w:style w:type="character" w:customStyle="1" w:styleId="af0">
    <w:name w:val="Верхний колонтитул Знак"/>
    <w:basedOn w:val="a0"/>
    <w:link w:val="af"/>
    <w:uiPriority w:val="99"/>
    <w:rsid w:val="00DC418C"/>
    <w:rPr>
      <w:rFonts w:eastAsiaTheme="minorEastAsia" w:cs="Times New Roman"/>
      <w:sz w:val="22"/>
      <w:szCs w:val="22"/>
      <w:lang w:eastAsia="en-US"/>
    </w:rPr>
  </w:style>
  <w:style w:type="character" w:customStyle="1" w:styleId="ezkurwreuab5ozgtqnkl">
    <w:name w:val="ezkurwreuab5ozgtqnkl"/>
    <w:basedOn w:val="a0"/>
    <w:rsid w:val="00DC418C"/>
  </w:style>
  <w:style w:type="table" w:styleId="af1">
    <w:name w:val="Table Grid"/>
    <w:basedOn w:val="a1"/>
    <w:uiPriority w:val="39"/>
    <w:rsid w:val="00C07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7372">
      <w:bodyDiv w:val="1"/>
      <w:marLeft w:val="0"/>
      <w:marRight w:val="0"/>
      <w:marTop w:val="0"/>
      <w:marBottom w:val="0"/>
      <w:divBdr>
        <w:top w:val="none" w:sz="0" w:space="0" w:color="auto"/>
        <w:left w:val="none" w:sz="0" w:space="0" w:color="auto"/>
        <w:bottom w:val="none" w:sz="0" w:space="0" w:color="auto"/>
        <w:right w:val="none" w:sz="0" w:space="0" w:color="auto"/>
      </w:divBdr>
      <w:divsChild>
        <w:div w:id="523249710">
          <w:marLeft w:val="640"/>
          <w:marRight w:val="0"/>
          <w:marTop w:val="0"/>
          <w:marBottom w:val="0"/>
          <w:divBdr>
            <w:top w:val="none" w:sz="0" w:space="0" w:color="auto"/>
            <w:left w:val="none" w:sz="0" w:space="0" w:color="auto"/>
            <w:bottom w:val="none" w:sz="0" w:space="0" w:color="auto"/>
            <w:right w:val="none" w:sz="0" w:space="0" w:color="auto"/>
          </w:divBdr>
        </w:div>
        <w:div w:id="246964722">
          <w:marLeft w:val="640"/>
          <w:marRight w:val="0"/>
          <w:marTop w:val="0"/>
          <w:marBottom w:val="0"/>
          <w:divBdr>
            <w:top w:val="none" w:sz="0" w:space="0" w:color="auto"/>
            <w:left w:val="none" w:sz="0" w:space="0" w:color="auto"/>
            <w:bottom w:val="none" w:sz="0" w:space="0" w:color="auto"/>
            <w:right w:val="none" w:sz="0" w:space="0" w:color="auto"/>
          </w:divBdr>
          <w:divsChild>
            <w:div w:id="1346713180">
              <w:marLeft w:val="0"/>
              <w:marRight w:val="0"/>
              <w:marTop w:val="0"/>
              <w:marBottom w:val="0"/>
              <w:divBdr>
                <w:top w:val="none" w:sz="0" w:space="0" w:color="auto"/>
                <w:left w:val="none" w:sz="0" w:space="0" w:color="auto"/>
                <w:bottom w:val="none" w:sz="0" w:space="0" w:color="auto"/>
                <w:right w:val="none" w:sz="0" w:space="0" w:color="auto"/>
              </w:divBdr>
              <w:divsChild>
                <w:div w:id="2095545423">
                  <w:marLeft w:val="640"/>
                  <w:marRight w:val="0"/>
                  <w:marTop w:val="0"/>
                  <w:marBottom w:val="0"/>
                  <w:divBdr>
                    <w:top w:val="none" w:sz="0" w:space="0" w:color="auto"/>
                    <w:left w:val="none" w:sz="0" w:space="0" w:color="auto"/>
                    <w:bottom w:val="none" w:sz="0" w:space="0" w:color="auto"/>
                    <w:right w:val="none" w:sz="0" w:space="0" w:color="auto"/>
                  </w:divBdr>
                </w:div>
                <w:div w:id="76100577">
                  <w:marLeft w:val="640"/>
                  <w:marRight w:val="0"/>
                  <w:marTop w:val="0"/>
                  <w:marBottom w:val="0"/>
                  <w:divBdr>
                    <w:top w:val="none" w:sz="0" w:space="0" w:color="auto"/>
                    <w:left w:val="none" w:sz="0" w:space="0" w:color="auto"/>
                    <w:bottom w:val="none" w:sz="0" w:space="0" w:color="auto"/>
                    <w:right w:val="none" w:sz="0" w:space="0" w:color="auto"/>
                  </w:divBdr>
                </w:div>
              </w:divsChild>
            </w:div>
            <w:div w:id="851530358">
              <w:marLeft w:val="0"/>
              <w:marRight w:val="0"/>
              <w:marTop w:val="0"/>
              <w:marBottom w:val="0"/>
              <w:divBdr>
                <w:top w:val="none" w:sz="0" w:space="0" w:color="auto"/>
                <w:left w:val="none" w:sz="0" w:space="0" w:color="auto"/>
                <w:bottom w:val="none" w:sz="0" w:space="0" w:color="auto"/>
                <w:right w:val="none" w:sz="0" w:space="0" w:color="auto"/>
              </w:divBdr>
              <w:divsChild>
                <w:div w:id="179710266">
                  <w:marLeft w:val="640"/>
                  <w:marRight w:val="0"/>
                  <w:marTop w:val="0"/>
                  <w:marBottom w:val="0"/>
                  <w:divBdr>
                    <w:top w:val="none" w:sz="0" w:space="0" w:color="auto"/>
                    <w:left w:val="none" w:sz="0" w:space="0" w:color="auto"/>
                    <w:bottom w:val="none" w:sz="0" w:space="0" w:color="auto"/>
                    <w:right w:val="none" w:sz="0" w:space="0" w:color="auto"/>
                  </w:divBdr>
                </w:div>
                <w:div w:id="94885779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718942942">
          <w:marLeft w:val="640"/>
          <w:marRight w:val="0"/>
          <w:marTop w:val="0"/>
          <w:marBottom w:val="0"/>
          <w:divBdr>
            <w:top w:val="none" w:sz="0" w:space="0" w:color="auto"/>
            <w:left w:val="none" w:sz="0" w:space="0" w:color="auto"/>
            <w:bottom w:val="none" w:sz="0" w:space="0" w:color="auto"/>
            <w:right w:val="none" w:sz="0" w:space="0" w:color="auto"/>
          </w:divBdr>
        </w:div>
      </w:divsChild>
    </w:div>
    <w:div w:id="235669964">
      <w:bodyDiv w:val="1"/>
      <w:marLeft w:val="0"/>
      <w:marRight w:val="0"/>
      <w:marTop w:val="0"/>
      <w:marBottom w:val="0"/>
      <w:divBdr>
        <w:top w:val="none" w:sz="0" w:space="0" w:color="auto"/>
        <w:left w:val="none" w:sz="0" w:space="0" w:color="auto"/>
        <w:bottom w:val="none" w:sz="0" w:space="0" w:color="auto"/>
        <w:right w:val="none" w:sz="0" w:space="0" w:color="auto"/>
      </w:divBdr>
      <w:divsChild>
        <w:div w:id="175310498">
          <w:marLeft w:val="640"/>
          <w:marRight w:val="0"/>
          <w:marTop w:val="0"/>
          <w:marBottom w:val="0"/>
          <w:divBdr>
            <w:top w:val="none" w:sz="0" w:space="0" w:color="auto"/>
            <w:left w:val="none" w:sz="0" w:space="0" w:color="auto"/>
            <w:bottom w:val="none" w:sz="0" w:space="0" w:color="auto"/>
            <w:right w:val="none" w:sz="0" w:space="0" w:color="auto"/>
          </w:divBdr>
        </w:div>
        <w:div w:id="2034067357">
          <w:marLeft w:val="640"/>
          <w:marRight w:val="0"/>
          <w:marTop w:val="0"/>
          <w:marBottom w:val="0"/>
          <w:divBdr>
            <w:top w:val="none" w:sz="0" w:space="0" w:color="auto"/>
            <w:left w:val="none" w:sz="0" w:space="0" w:color="auto"/>
            <w:bottom w:val="none" w:sz="0" w:space="0" w:color="auto"/>
            <w:right w:val="none" w:sz="0" w:space="0" w:color="auto"/>
          </w:divBdr>
        </w:div>
      </w:divsChild>
    </w:div>
    <w:div w:id="310332760">
      <w:bodyDiv w:val="1"/>
      <w:marLeft w:val="0"/>
      <w:marRight w:val="0"/>
      <w:marTop w:val="0"/>
      <w:marBottom w:val="0"/>
      <w:divBdr>
        <w:top w:val="none" w:sz="0" w:space="0" w:color="auto"/>
        <w:left w:val="none" w:sz="0" w:space="0" w:color="auto"/>
        <w:bottom w:val="none" w:sz="0" w:space="0" w:color="auto"/>
        <w:right w:val="none" w:sz="0" w:space="0" w:color="auto"/>
      </w:divBdr>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505627307">
      <w:bodyDiv w:val="1"/>
      <w:marLeft w:val="0"/>
      <w:marRight w:val="0"/>
      <w:marTop w:val="0"/>
      <w:marBottom w:val="0"/>
      <w:divBdr>
        <w:top w:val="none" w:sz="0" w:space="0" w:color="auto"/>
        <w:left w:val="none" w:sz="0" w:space="0" w:color="auto"/>
        <w:bottom w:val="none" w:sz="0" w:space="0" w:color="auto"/>
        <w:right w:val="none" w:sz="0" w:space="0" w:color="auto"/>
      </w:divBdr>
    </w:div>
    <w:div w:id="1523009911">
      <w:bodyDiv w:val="1"/>
      <w:marLeft w:val="0"/>
      <w:marRight w:val="0"/>
      <w:marTop w:val="0"/>
      <w:marBottom w:val="0"/>
      <w:divBdr>
        <w:top w:val="none" w:sz="0" w:space="0" w:color="auto"/>
        <w:left w:val="none" w:sz="0" w:space="0" w:color="auto"/>
        <w:bottom w:val="none" w:sz="0" w:space="0" w:color="auto"/>
        <w:right w:val="none" w:sz="0" w:space="0" w:color="auto"/>
      </w:divBdr>
      <w:divsChild>
        <w:div w:id="309601166">
          <w:marLeft w:val="360"/>
          <w:marRight w:val="0"/>
          <w:marTop w:val="200"/>
          <w:marBottom w:val="0"/>
          <w:divBdr>
            <w:top w:val="none" w:sz="0" w:space="0" w:color="auto"/>
            <w:left w:val="none" w:sz="0" w:space="0" w:color="auto"/>
            <w:bottom w:val="none" w:sz="0" w:space="0" w:color="auto"/>
            <w:right w:val="none" w:sz="0" w:space="0" w:color="auto"/>
          </w:divBdr>
        </w:div>
        <w:div w:id="2000571683">
          <w:marLeft w:val="360"/>
          <w:marRight w:val="0"/>
          <w:marTop w:val="200"/>
          <w:marBottom w:val="0"/>
          <w:divBdr>
            <w:top w:val="none" w:sz="0" w:space="0" w:color="auto"/>
            <w:left w:val="none" w:sz="0" w:space="0" w:color="auto"/>
            <w:bottom w:val="none" w:sz="0" w:space="0" w:color="auto"/>
            <w:right w:val="none" w:sz="0" w:space="0" w:color="auto"/>
          </w:divBdr>
        </w:div>
      </w:divsChild>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1945919439">
      <w:bodyDiv w:val="1"/>
      <w:marLeft w:val="0"/>
      <w:marRight w:val="0"/>
      <w:marTop w:val="0"/>
      <w:marBottom w:val="0"/>
      <w:divBdr>
        <w:top w:val="none" w:sz="0" w:space="0" w:color="auto"/>
        <w:left w:val="none" w:sz="0" w:space="0" w:color="auto"/>
        <w:bottom w:val="none" w:sz="0" w:space="0" w:color="auto"/>
        <w:right w:val="none" w:sz="0" w:space="0" w:color="auto"/>
      </w:divBdr>
    </w:div>
    <w:div w:id="2063403468">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toropov02@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Общие"/>
          <w:gallery w:val="placeholder"/>
        </w:category>
        <w:types>
          <w:type w:val="bbPlcHdr"/>
        </w:types>
        <w:behaviors>
          <w:behavior w:val="content"/>
        </w:behaviors>
        <w:guid w:val="{8C28377A-9C6C-427A-9968-D4DA588E815F}"/>
      </w:docPartPr>
      <w:docPartBody>
        <w:p w:rsidR="003C6236" w:rsidRDefault="008221D0">
          <w:r w:rsidRPr="00FC32F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D0"/>
    <w:rsid w:val="000D1DF6"/>
    <w:rsid w:val="002235E1"/>
    <w:rsid w:val="00320010"/>
    <w:rsid w:val="003C6236"/>
    <w:rsid w:val="008221D0"/>
    <w:rsid w:val="00A22689"/>
    <w:rsid w:val="00AF6711"/>
    <w:rsid w:val="00C52965"/>
    <w:rsid w:val="00D94686"/>
    <w:rsid w:val="00E21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21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4449E8-923B-4A62-9299-AB623BF9002F}">
  <we:reference id="wa104382081" version="1.55.1.0" store="ru-RU" storeType="OMEX"/>
  <we:alternateReferences>
    <we:reference id="WA104382081" version="1.55.1.0" store="" storeType="OMEX"/>
  </we:alternateReferences>
  <we:properties>
    <we:property name="MENDELEY_CITATIONS" value="[{&quot;citationID&quot;:&quot;MENDELEY_CITATION_747b8344-2eed-4ce3-b9f7-a2bc1655bcac&quot;,&quot;properties&quot;:{&quot;noteIndex&quot;:0},&quot;isEdited&quot;:false,&quot;manualOverride&quot;:{&quot;isManuallyOverridden&quot;:false,&quot;citeprocText&quot;:&quot;[1,2]&quot;,&quot;manualOverrideText&quot;:&quot;&quot;},&quot;citationTag&quot;:&quot;MENDELEY_CITATION_v3_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&quot;,&quot;citationItems&quot;:[{&quot;id&quot;:&quot;24a87aa4-aafa-31e8-a7bc-25a17509bb2d&quot;,&quot;itemData&quot;:{&quot;type&quot;:&quot;article&quot;,&quot;id&quot;:&quot;24a87aa4-aafa-31e8-a7bc-25a17509bb2d&quot;,&quot;title&quot;:&quot;Emerging trends in spin crossover (SCO) based functional materials and devices&quot;,&quot;author&quot;:[{&quot;family&quot;:&quot;Senthil Kumar&quot;,&quot;given&quot;:&quot;Kuppusamy&quot;,&quot;parse-names&quot;:false,&quot;dropping-particle&quot;:&quot;&quot;,&quot;non-dropping-particle&quot;:&quot;&quot;},{&quot;family&quot;:&quot;Ruben&quot;,&quot;given&quot;:&quot;Mario&quot;,&quot;parse-names&quot;:false,&quot;dropping-particle&quot;:&quot;&quot;,&quot;non-dropping-particle&quot;:&quot;&quot;}],&quot;container-title&quot;:&quot;Coordination Chemistry Reviews&quot;,&quot;container-title-short&quot;:&quot;Coord Chem Rev&quot;,&quot;DOI&quot;:&quot;10.1016/j.ccr.2017.03.024&quot;,&quot;ISSN&quot;:&quot;00108545&quot;,&quot;issued&quot;:{&quot;date-parts&quot;:[[2017,9,1]]},&quot;page&quot;:&quot;176-205&quot;,&quot;abstract&quot;:&quot;The design and synthesis of functional molecules with controllable properties are at the forefront of modern materials chemistry research due to their diverse applicability, especially in device miniaturization. Spin crossover (SCO) complexes can be switched between low (LS) and high spin (HS) magnetic states with the help of an external perturbation, and are promising candidates for the realization of molecule-based electronic and spintronic components, such as switching and memory elements. Although the area is relatively old and a multitude of SCO active transition metal complexes of d4-d7 electronic configuration have been reported, the field continues to grow, and several interesting research directions have emerged. In this context, the present review attempts to give a concise overview of recent trends in SCO research. Attempts devoted towards rendering multifunctionality to the SCO systems in order to bridge the gap between laboratory and reality, and efforts made to study spin state dependence of physical property modulation such as electrical conductance from single molecule level to bulk, prerequisite for the realization of SCO-based devices, are emphasized by discussing the most relevant past and recent literature.&quot;,&quot;publisher&quot;:&quot;Elsevier B.V.&quot;,&quot;volume&quot;:&quot;346&quot;},&quot;isTemporary&quot;:false},{&quot;id&quot;:&quot;89aa447d-83d9-344a-b76c-c047982e7f4a&quot;,&quot;itemData&quot;:{&quot;type&quot;:&quot;article&quot;,&quot;id&quot;:&quot;89aa447d-83d9-344a-b76c-c047982e7f4a&quot;,&quot;title&quot;:&quot;Spin-state switches in molecular materials chemistry&quot;,&quot;author&quot;:[{&quot;family&quot;:&quot;Hayami&quot;,&quot;given&quot;:&quot;Shinya&quot;,&quot;parse-names&quot;:false,&quot;dropping-particle&quot;:&quot;&quot;,&quot;non-dropping-particle&quot;:&quot;&quot;},{&quot;family&quot;:&quot;Holmes&quot;,&quot;given&quot;:&quot;Stephen M.&quot;,&quot;parse-names&quot;:false,&quot;dropping-particle&quot;:&quot;&quot;,&quot;non-dropping-particle&quot;:&quot;&quot;},{&quot;family&quot;:&quot;Halcrow&quot;,&quot;given&quot;:&quot;Malcolm A.&quot;,&quot;parse-names&quot;:false,&quot;dropping-particle&quot;:&quot;&quot;,&quot;non-dropping-particle&quot;:&quot;&quot;}],&quot;container-title&quot;:&quot;Journal of Materials Chemistry C&quot;,&quot;container-title-short&quot;:&quot;J Mater Chem C Mater&quot;,&quot;DOI&quot;:&quot;10.1039/c5tc90128f&quot;,&quot;ISSN&quot;:&quot;20507526&quot;,&quot;issued&quot;:{&quot;date-parts&quot;:[[2015,8,14]]},&quot;page&quot;:&quot;7775-7778&quot;,&quot;publisher&quot;:&quot;Royal Society of Chemistry&quot;,&quot;issue&quot;:&quot;30&quot;,&quot;volume&quot;:&quot;3&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BCEC9-2437-43E3-8BA0-AFF2ED6B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Мария Скрыпник</cp:lastModifiedBy>
  <cp:revision>4</cp:revision>
  <dcterms:created xsi:type="dcterms:W3CDTF">2025-03-12T14:25:00Z</dcterms:created>
  <dcterms:modified xsi:type="dcterms:W3CDTF">2025-03-19T10:39:00Z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c8b9cff9-a6cb-3d54-b193-558b6dd99092</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11th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9th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http://www.zotero.org/styles/gost-r-7-0-5-2008-numeric-alphabetical</vt:lpwstr>
  </property>
  <property fmtid="{D5CDD505-2E9C-101B-9397-08002B2CF9AE}" pid="24" name="Mendeley Recent Style Name 9_1">
    <vt:lpwstr>Russian GOST R 7.0.5-2008 (numeric, sorted alphabetically, Ру́сский)</vt:lpwstr>
  </property>
</Properties>
</file>