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A1F02" w14:textId="77777777" w:rsidR="00C928C4" w:rsidRDefault="00C928C4" w:rsidP="00CF6E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proofErr w:type="spellStart"/>
      <w:r w:rsidRPr="00C928C4">
        <w:rPr>
          <w:b/>
          <w:color w:val="000000"/>
        </w:rPr>
        <w:t>Триазациклогексаны</w:t>
      </w:r>
      <w:proofErr w:type="spellEnd"/>
      <w:r w:rsidRPr="00C928C4">
        <w:rPr>
          <w:b/>
          <w:color w:val="000000"/>
        </w:rPr>
        <w:t xml:space="preserve"> как универсальный инструмент для дизайна </w:t>
      </w:r>
      <w:proofErr w:type="spellStart"/>
      <w:r w:rsidRPr="00C928C4">
        <w:rPr>
          <w:b/>
          <w:color w:val="000000"/>
        </w:rPr>
        <w:t>лантанидорганических</w:t>
      </w:r>
      <w:proofErr w:type="spellEnd"/>
      <w:r w:rsidRPr="00C928C4">
        <w:rPr>
          <w:b/>
          <w:color w:val="000000"/>
        </w:rPr>
        <w:t xml:space="preserve"> соединений </w:t>
      </w:r>
    </w:p>
    <w:p w14:paraId="6BAF7FC3" w14:textId="77777777" w:rsidR="00C928C4" w:rsidRDefault="00C928C4" w:rsidP="00CF6E3B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position w:val="8"/>
          <w:vertAlign w:val="superscript"/>
        </w:rPr>
      </w:pPr>
      <w:r w:rsidRPr="00C928C4">
        <w:rPr>
          <w:b/>
          <w:bCs/>
          <w:i/>
          <w:iCs/>
        </w:rPr>
        <w:t>Дегтярева С. С.</w:t>
      </w:r>
      <w:r w:rsidRPr="00C928C4">
        <w:rPr>
          <w:b/>
          <w:bCs/>
          <w:i/>
          <w:iCs/>
          <w:position w:val="8"/>
          <w:vertAlign w:val="superscript"/>
        </w:rPr>
        <w:t>1,2</w:t>
      </w:r>
      <w:r w:rsidRPr="00C928C4">
        <w:rPr>
          <w:b/>
          <w:bCs/>
          <w:i/>
          <w:iCs/>
        </w:rPr>
        <w:t xml:space="preserve">, </w:t>
      </w:r>
      <w:proofErr w:type="spellStart"/>
      <w:r w:rsidRPr="00C928C4">
        <w:rPr>
          <w:b/>
          <w:bCs/>
          <w:i/>
          <w:iCs/>
        </w:rPr>
        <w:t>Бардонов</w:t>
      </w:r>
      <w:proofErr w:type="spellEnd"/>
      <w:r w:rsidRPr="00C928C4">
        <w:rPr>
          <w:b/>
          <w:bCs/>
          <w:i/>
          <w:iCs/>
        </w:rPr>
        <w:t xml:space="preserve"> Д. А.</w:t>
      </w:r>
      <w:r w:rsidRPr="00C928C4">
        <w:rPr>
          <w:b/>
          <w:bCs/>
          <w:i/>
          <w:iCs/>
          <w:position w:val="8"/>
          <w:vertAlign w:val="superscript"/>
        </w:rPr>
        <w:t>1,2</w:t>
      </w:r>
      <w:r w:rsidRPr="00C928C4">
        <w:rPr>
          <w:b/>
          <w:bCs/>
          <w:i/>
          <w:iCs/>
        </w:rPr>
        <w:t xml:space="preserve">, </w:t>
      </w:r>
      <w:proofErr w:type="spellStart"/>
      <w:r w:rsidRPr="00C928C4">
        <w:rPr>
          <w:b/>
          <w:bCs/>
          <w:i/>
          <w:iCs/>
        </w:rPr>
        <w:t>Ройтерштейн</w:t>
      </w:r>
      <w:proofErr w:type="spellEnd"/>
      <w:r w:rsidRPr="00C928C4">
        <w:rPr>
          <w:b/>
          <w:bCs/>
          <w:i/>
          <w:iCs/>
        </w:rPr>
        <w:t xml:space="preserve"> Д. М.</w:t>
      </w:r>
      <w:r w:rsidRPr="00C928C4">
        <w:rPr>
          <w:b/>
          <w:bCs/>
          <w:i/>
          <w:iCs/>
          <w:position w:val="8"/>
          <w:vertAlign w:val="superscript"/>
        </w:rPr>
        <w:t>1,2</w:t>
      </w:r>
    </w:p>
    <w:p w14:paraId="32320B07" w14:textId="052FBFCA" w:rsidR="00C928C4" w:rsidRPr="00C928C4" w:rsidRDefault="00C928C4" w:rsidP="00CF6E3B">
      <w:pPr>
        <w:pStyle w:val="ac"/>
        <w:shd w:val="clear" w:color="auto" w:fill="FFFFFF"/>
        <w:spacing w:before="0" w:beforeAutospacing="0" w:after="0" w:afterAutospacing="0"/>
        <w:jc w:val="center"/>
        <w:rPr>
          <w:i/>
          <w:iCs/>
        </w:rPr>
      </w:pPr>
      <w:r w:rsidRPr="00C928C4">
        <w:rPr>
          <w:i/>
          <w:iCs/>
          <w:position w:val="8"/>
        </w:rPr>
        <w:t>Студе</w:t>
      </w:r>
      <w:r w:rsidR="00CF6E3B">
        <w:rPr>
          <w:i/>
          <w:iCs/>
          <w:position w:val="8"/>
        </w:rPr>
        <w:t>нт,</w:t>
      </w:r>
      <w:r w:rsidRPr="00C928C4">
        <w:rPr>
          <w:i/>
          <w:iCs/>
          <w:position w:val="8"/>
        </w:rPr>
        <w:t xml:space="preserve"> 4 курс бакалавриата</w:t>
      </w:r>
    </w:p>
    <w:p w14:paraId="51F143FC" w14:textId="46C55FA3" w:rsidR="00C928C4" w:rsidRPr="00C928C4" w:rsidRDefault="00C928C4" w:rsidP="00CF6E3B">
      <w:pPr>
        <w:pStyle w:val="ac"/>
        <w:shd w:val="clear" w:color="auto" w:fill="FFFFFF"/>
        <w:spacing w:before="0" w:beforeAutospacing="0" w:after="0" w:afterAutospacing="0"/>
        <w:jc w:val="center"/>
        <w:rPr>
          <w:i/>
          <w:iCs/>
        </w:rPr>
      </w:pPr>
      <w:r w:rsidRPr="00C928C4">
        <w:rPr>
          <w:i/>
          <w:iCs/>
          <w:vertAlign w:val="superscript"/>
        </w:rPr>
        <w:t>1</w:t>
      </w:r>
      <w:r w:rsidRPr="00C928C4">
        <w:rPr>
          <w:i/>
          <w:iCs/>
        </w:rPr>
        <w:t xml:space="preserve">Институт нефтехимического синтеза им. А. В. Топчиева РАН </w:t>
      </w:r>
    </w:p>
    <w:p w14:paraId="2FC9F61C" w14:textId="1CA25AEE" w:rsidR="00C928C4" w:rsidRPr="005736B3" w:rsidRDefault="00C928C4" w:rsidP="00CF6E3B">
      <w:pPr>
        <w:pStyle w:val="ac"/>
        <w:shd w:val="clear" w:color="auto" w:fill="FFFFFF"/>
        <w:spacing w:before="0" w:beforeAutospacing="0" w:after="0" w:afterAutospacing="0"/>
        <w:jc w:val="center"/>
        <w:rPr>
          <w:position w:val="8"/>
        </w:rPr>
      </w:pPr>
      <w:r w:rsidRPr="00C928C4">
        <w:rPr>
          <w:i/>
          <w:iCs/>
          <w:vertAlign w:val="superscript"/>
        </w:rPr>
        <w:t>2</w:t>
      </w:r>
      <w:r w:rsidRPr="00C928C4">
        <w:rPr>
          <w:i/>
          <w:iCs/>
        </w:rPr>
        <w:t xml:space="preserve">Национальный </w:t>
      </w:r>
      <w:proofErr w:type="spellStart"/>
      <w:r w:rsidRPr="005736B3">
        <w:rPr>
          <w:i/>
          <w:iCs/>
        </w:rPr>
        <w:t>исследовательскии</w:t>
      </w:r>
      <w:proofErr w:type="spellEnd"/>
      <w:r w:rsidRPr="005736B3">
        <w:rPr>
          <w:i/>
          <w:iCs/>
        </w:rPr>
        <w:t>̆ университет «Высшая школа экономики», факультет химии, Москва, Россия</w:t>
      </w:r>
      <w:r w:rsidRPr="005736B3">
        <w:rPr>
          <w:i/>
          <w:iCs/>
        </w:rPr>
        <w:br/>
        <w:t>E–</w:t>
      </w:r>
      <w:proofErr w:type="spellStart"/>
      <w:r w:rsidRPr="005736B3">
        <w:rPr>
          <w:i/>
          <w:iCs/>
        </w:rPr>
        <w:t>mail</w:t>
      </w:r>
      <w:proofErr w:type="spellEnd"/>
      <w:r w:rsidRPr="005736B3">
        <w:rPr>
          <w:i/>
          <w:iCs/>
        </w:rPr>
        <w:t xml:space="preserve">: </w:t>
      </w:r>
      <w:hyperlink r:id="rId6" w:history="1">
        <w:r w:rsidRPr="005736B3">
          <w:rPr>
            <w:rStyle w:val="a9"/>
            <w:i/>
            <w:iCs/>
            <w:color w:val="auto"/>
          </w:rPr>
          <w:t>ssdegtyareva@edu.hse.ru</w:t>
        </w:r>
      </w:hyperlink>
    </w:p>
    <w:p w14:paraId="47F51F0D" w14:textId="77777777" w:rsidR="00C928C4" w:rsidRPr="00C928C4" w:rsidRDefault="00C928C4" w:rsidP="00CF6E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5736B3">
        <w:t xml:space="preserve">Координационные и металлоорганические соединения лантанидов широко используются в химии. В качестве предшественников в реакциях получения комплексов лантанидов с органическими лигандами чаще всего используются безводные галогениды лантанидов или </w:t>
      </w:r>
      <w:proofErr w:type="spellStart"/>
      <w:r w:rsidRPr="005736B3">
        <w:rPr>
          <w:lang w:val="en-US"/>
        </w:rPr>
        <w:t>LnHal</w:t>
      </w:r>
      <w:proofErr w:type="spellEnd"/>
      <w:r w:rsidRPr="005736B3">
        <w:rPr>
          <w:vertAlign w:val="subscript"/>
        </w:rPr>
        <w:t>3</w:t>
      </w:r>
      <w:r w:rsidRPr="005736B3">
        <w:t>(</w:t>
      </w:r>
      <w:r w:rsidRPr="005736B3">
        <w:rPr>
          <w:lang w:val="en-US"/>
        </w:rPr>
        <w:t>THF</w:t>
      </w:r>
      <w:r w:rsidRPr="005736B3">
        <w:t>)</w:t>
      </w:r>
      <w:r w:rsidRPr="005736B3">
        <w:rPr>
          <w:vertAlign w:val="subscript"/>
          <w:lang w:val="en-US"/>
        </w:rPr>
        <w:t>X</w:t>
      </w:r>
      <w:r w:rsidRPr="005736B3">
        <w:t>. Однако низкая растворимость этих прекурсоров в органических растворителях сдерживает развитие химии лантанидов</w:t>
      </w:r>
      <w:r w:rsidRPr="00C928C4">
        <w:rPr>
          <w:color w:val="000000"/>
        </w:rPr>
        <w:t>.</w:t>
      </w:r>
    </w:p>
    <w:p w14:paraId="21B50F6A" w14:textId="417EC57B" w:rsidR="00C928C4" w:rsidRPr="00C928C4" w:rsidRDefault="00C928C4" w:rsidP="00CF6E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C928C4">
        <w:rPr>
          <w:color w:val="000000"/>
        </w:rPr>
        <w:t xml:space="preserve"> Высоко-симметричные аддукты хлоридов редкоземельных элементов с </w:t>
      </w:r>
      <w:proofErr w:type="spellStart"/>
      <w:r w:rsidRPr="00C928C4">
        <w:rPr>
          <w:color w:val="000000"/>
        </w:rPr>
        <w:t>полидентатными</w:t>
      </w:r>
      <w:proofErr w:type="spellEnd"/>
      <w:r w:rsidRPr="00C928C4">
        <w:rPr>
          <w:color w:val="000000"/>
        </w:rPr>
        <w:t xml:space="preserve"> N- донорными лигандами вида </w:t>
      </w:r>
      <w:proofErr w:type="spellStart"/>
      <w:r w:rsidRPr="00C928C4">
        <w:rPr>
          <w:color w:val="000000"/>
          <w:lang w:val="en-US"/>
        </w:rPr>
        <w:t>LnCl</w:t>
      </w:r>
      <w:proofErr w:type="spellEnd"/>
      <w:r w:rsidRPr="00C928C4">
        <w:rPr>
          <w:color w:val="000000"/>
          <w:vertAlign w:val="subscript"/>
        </w:rPr>
        <w:t>3</w:t>
      </w:r>
      <w:r w:rsidRPr="00C928C4">
        <w:rPr>
          <w:color w:val="000000"/>
        </w:rPr>
        <w:t>(</w:t>
      </w:r>
      <w:r w:rsidRPr="00C928C4">
        <w:rPr>
          <w:color w:val="000000"/>
          <w:lang w:val="en-US"/>
        </w:rPr>
        <w:t>R</w:t>
      </w:r>
      <w:r w:rsidRPr="00C928C4">
        <w:rPr>
          <w:color w:val="000000"/>
          <w:vertAlign w:val="subscript"/>
        </w:rPr>
        <w:t>3</w:t>
      </w:r>
      <w:r w:rsidRPr="00C928C4">
        <w:rPr>
          <w:color w:val="000000"/>
          <w:lang w:val="en-US"/>
        </w:rPr>
        <w:t>tach</w:t>
      </w:r>
      <w:r w:rsidRPr="00C928C4">
        <w:rPr>
          <w:color w:val="000000"/>
        </w:rPr>
        <w:t>)</w:t>
      </w:r>
      <w:r w:rsidRPr="00C928C4">
        <w:rPr>
          <w:color w:val="000000"/>
          <w:vertAlign w:val="subscript"/>
        </w:rPr>
        <w:t>2</w:t>
      </w:r>
      <w:r w:rsidRPr="00C928C4">
        <w:rPr>
          <w:color w:val="000000"/>
        </w:rPr>
        <w:t xml:space="preserve"> (</w:t>
      </w:r>
      <w:r w:rsidRPr="00C928C4">
        <w:rPr>
          <w:color w:val="000000"/>
          <w:lang w:val="en-US"/>
        </w:rPr>
        <w:t>tach</w:t>
      </w:r>
      <w:r w:rsidRPr="00C928C4">
        <w:rPr>
          <w:color w:val="000000"/>
        </w:rPr>
        <w:t xml:space="preserve">=1,3,5-триазациклогексан) обладают хорошей растворимостью в углеводородах, поскольку введение этих лигандов в координационную сферу иона лантанида предотвращает ассоциацию и образование </w:t>
      </w:r>
      <w:proofErr w:type="spellStart"/>
      <w:r w:rsidRPr="00C928C4">
        <w:rPr>
          <w:color w:val="000000"/>
        </w:rPr>
        <w:t>полиядерных</w:t>
      </w:r>
      <w:proofErr w:type="spellEnd"/>
      <w:r w:rsidRPr="00C928C4">
        <w:rPr>
          <w:color w:val="000000"/>
        </w:rPr>
        <w:t xml:space="preserve"> комплексов</w:t>
      </w:r>
      <w:r>
        <w:rPr>
          <w:color w:val="000000"/>
        </w:rPr>
        <w:t xml:space="preserve"> </w:t>
      </w:r>
      <w:r w:rsidRPr="00C928C4">
        <w:rPr>
          <w:color w:val="000000"/>
        </w:rPr>
        <w:t xml:space="preserve">[1]. В этой работе мы продемонстрировали возможности применения таких комплексов в дизайне </w:t>
      </w:r>
      <w:proofErr w:type="spellStart"/>
      <w:r w:rsidRPr="00C928C4">
        <w:rPr>
          <w:color w:val="000000"/>
        </w:rPr>
        <w:t>лантанидорганических</w:t>
      </w:r>
      <w:proofErr w:type="spellEnd"/>
      <w:r w:rsidRPr="00C928C4">
        <w:rPr>
          <w:color w:val="000000"/>
        </w:rPr>
        <w:t xml:space="preserve"> соединений.</w:t>
      </w:r>
    </w:p>
    <w:p w14:paraId="3A1D193E" w14:textId="77777777" w:rsidR="00C928C4" w:rsidRPr="00C928C4" w:rsidRDefault="00C928C4" w:rsidP="00CF6E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C928C4">
        <w:rPr>
          <w:color w:val="000000"/>
        </w:rPr>
        <w:t xml:space="preserve">Синтезированы комплексы 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1 с </w:t>
      </w:r>
      <w:r w:rsidRPr="00C928C4">
        <w:rPr>
          <w:color w:val="000000"/>
          <w:lang w:val="en-US"/>
        </w:rPr>
        <w:t>Me</w:t>
      </w:r>
      <w:r w:rsidRPr="00C928C4">
        <w:rPr>
          <w:color w:val="000000"/>
          <w:vertAlign w:val="subscript"/>
        </w:rPr>
        <w:t>3</w:t>
      </w:r>
      <w:r w:rsidRPr="00C928C4">
        <w:rPr>
          <w:color w:val="000000"/>
          <w:lang w:val="en-US"/>
        </w:rPr>
        <w:t>tach</w:t>
      </w:r>
      <w:r w:rsidRPr="00C928C4">
        <w:rPr>
          <w:color w:val="000000"/>
        </w:rPr>
        <w:t xml:space="preserve"> и 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2 </w:t>
      </w:r>
      <w:r w:rsidRPr="00C928C4">
        <w:rPr>
          <w:color w:val="000000"/>
          <w:lang w:val="en-US"/>
        </w:rPr>
        <w:t>c</w:t>
      </w:r>
      <w:r w:rsidRPr="00C928C4">
        <w:rPr>
          <w:color w:val="000000"/>
        </w:rPr>
        <w:t xml:space="preserve"> более стерически-нагруженным </w:t>
      </w:r>
      <w:proofErr w:type="spellStart"/>
      <w:r w:rsidRPr="00C928C4">
        <w:rPr>
          <w:i/>
          <w:iCs/>
          <w:color w:val="000000"/>
          <w:lang w:val="en-US"/>
        </w:rPr>
        <w:t>i</w:t>
      </w:r>
      <w:proofErr w:type="spellEnd"/>
      <w:r w:rsidRPr="00C928C4">
        <w:rPr>
          <w:color w:val="000000"/>
        </w:rPr>
        <w:t>-</w:t>
      </w:r>
      <w:proofErr w:type="spellStart"/>
      <w:r w:rsidRPr="00C928C4">
        <w:rPr>
          <w:color w:val="000000"/>
          <w:lang w:val="en-US"/>
        </w:rPr>
        <w:t>Pr</w:t>
      </w:r>
      <w:proofErr w:type="spellEnd"/>
      <w:r w:rsidRPr="00C928C4">
        <w:rPr>
          <w:color w:val="000000"/>
          <w:vertAlign w:val="subscript"/>
        </w:rPr>
        <w:t>3</w:t>
      </w:r>
      <w:r w:rsidRPr="00C928C4">
        <w:rPr>
          <w:color w:val="000000"/>
          <w:lang w:val="en-US"/>
        </w:rPr>
        <w:t>tach</w:t>
      </w:r>
      <w:r w:rsidRPr="00C928C4">
        <w:rPr>
          <w:color w:val="000000"/>
        </w:rPr>
        <w:t xml:space="preserve">. 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1 могут быть использованы для дизайна ярко-люминесцентных </w:t>
      </w:r>
      <w:proofErr w:type="spellStart"/>
      <w:r w:rsidRPr="00C928C4">
        <w:rPr>
          <w:color w:val="000000"/>
        </w:rPr>
        <w:t>гетеролигандных</w:t>
      </w:r>
      <w:proofErr w:type="spellEnd"/>
      <w:r w:rsidRPr="00C928C4">
        <w:rPr>
          <w:color w:val="000000"/>
        </w:rPr>
        <w:t xml:space="preserve"> комплексов как с лигандами-антеннами </w:t>
      </w:r>
      <w:r w:rsidRPr="00C928C4">
        <w:rPr>
          <w:color w:val="000000"/>
        </w:rPr>
        <w:sym w:font="Symbol" w:char="F073"/>
      </w:r>
      <w:r w:rsidRPr="00C928C4">
        <w:rPr>
          <w:color w:val="000000"/>
        </w:rPr>
        <w:t>-типа (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>3-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5), так и </w:t>
      </w:r>
      <w:r w:rsidRPr="00C928C4">
        <w:rPr>
          <w:color w:val="000000"/>
        </w:rPr>
        <w:sym w:font="Symbol" w:char="F070"/>
      </w:r>
      <w:r w:rsidRPr="00C928C4">
        <w:rPr>
          <w:color w:val="000000"/>
        </w:rPr>
        <w:t>-типа (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6). 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>1 также могут выступать в роли прекурсоров для обмена анионных лигандов (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7, 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8). 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2 с более лабильным </w:t>
      </w:r>
      <w:proofErr w:type="spellStart"/>
      <w:r w:rsidRPr="00C928C4">
        <w:rPr>
          <w:i/>
          <w:iCs/>
          <w:color w:val="000000"/>
          <w:lang w:val="en-US"/>
        </w:rPr>
        <w:t>i</w:t>
      </w:r>
      <w:proofErr w:type="spellEnd"/>
      <w:r w:rsidRPr="00C928C4">
        <w:rPr>
          <w:color w:val="000000"/>
        </w:rPr>
        <w:t>-</w:t>
      </w:r>
      <w:proofErr w:type="spellStart"/>
      <w:r w:rsidRPr="00C928C4">
        <w:rPr>
          <w:color w:val="000000"/>
          <w:lang w:val="en-US"/>
        </w:rPr>
        <w:t>Pr</w:t>
      </w:r>
      <w:proofErr w:type="spellEnd"/>
      <w:r w:rsidRPr="00C928C4">
        <w:rPr>
          <w:color w:val="000000"/>
          <w:vertAlign w:val="subscript"/>
        </w:rPr>
        <w:t>3</w:t>
      </w:r>
      <w:r w:rsidRPr="00C928C4">
        <w:rPr>
          <w:color w:val="000000"/>
          <w:lang w:val="en-US"/>
        </w:rPr>
        <w:t>tach</w:t>
      </w:r>
      <w:r w:rsidRPr="00C928C4">
        <w:rPr>
          <w:color w:val="000000"/>
        </w:rPr>
        <w:t xml:space="preserve"> позволяют проводить реакции с полным замещением </w:t>
      </w:r>
      <w:proofErr w:type="spellStart"/>
      <w:r w:rsidRPr="00C928C4">
        <w:rPr>
          <w:i/>
          <w:iCs/>
          <w:color w:val="000000"/>
          <w:lang w:val="en-US"/>
        </w:rPr>
        <w:t>i</w:t>
      </w:r>
      <w:proofErr w:type="spellEnd"/>
      <w:r w:rsidRPr="00C928C4">
        <w:rPr>
          <w:color w:val="000000"/>
        </w:rPr>
        <w:t>-</w:t>
      </w:r>
      <w:proofErr w:type="spellStart"/>
      <w:r w:rsidRPr="00C928C4">
        <w:rPr>
          <w:color w:val="000000"/>
          <w:lang w:val="en-US"/>
        </w:rPr>
        <w:t>Pr</w:t>
      </w:r>
      <w:proofErr w:type="spellEnd"/>
      <w:r w:rsidRPr="00C928C4">
        <w:rPr>
          <w:color w:val="000000"/>
          <w:vertAlign w:val="subscript"/>
        </w:rPr>
        <w:t>3</w:t>
      </w:r>
      <w:r w:rsidRPr="00C928C4">
        <w:rPr>
          <w:color w:val="000000"/>
          <w:lang w:val="en-US"/>
        </w:rPr>
        <w:t>tach</w:t>
      </w:r>
      <w:r w:rsidRPr="00C928C4">
        <w:rPr>
          <w:color w:val="000000"/>
        </w:rPr>
        <w:t xml:space="preserve"> на пиридин или </w:t>
      </w:r>
      <w:proofErr w:type="spellStart"/>
      <w:r w:rsidRPr="00C928C4">
        <w:rPr>
          <w:color w:val="000000"/>
        </w:rPr>
        <w:t>фенантролин</w:t>
      </w:r>
      <w:proofErr w:type="spellEnd"/>
      <w:r w:rsidRPr="00C928C4">
        <w:rPr>
          <w:color w:val="000000"/>
        </w:rPr>
        <w:t xml:space="preserve">, в то время как 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1 склонны замещать только один </w:t>
      </w:r>
      <w:r w:rsidRPr="00C928C4">
        <w:rPr>
          <w:color w:val="000000"/>
          <w:lang w:val="en-US"/>
        </w:rPr>
        <w:t>Me</w:t>
      </w:r>
      <w:r w:rsidRPr="00C928C4">
        <w:rPr>
          <w:color w:val="000000"/>
          <w:vertAlign w:val="subscript"/>
        </w:rPr>
        <w:t>3</w:t>
      </w:r>
      <w:r w:rsidRPr="00C928C4">
        <w:rPr>
          <w:color w:val="000000"/>
          <w:lang w:val="en-US"/>
        </w:rPr>
        <w:t>tach</w:t>
      </w:r>
      <w:r w:rsidRPr="00C928C4">
        <w:rPr>
          <w:color w:val="000000"/>
        </w:rPr>
        <w:t xml:space="preserve">. </w:t>
      </w:r>
    </w:p>
    <w:p w14:paraId="0D38AE8E" w14:textId="77777777" w:rsidR="00C928C4" w:rsidRPr="00C928C4" w:rsidRDefault="00C928C4" w:rsidP="005736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C928C4">
        <w:rPr>
          <w:i/>
          <w:iCs/>
          <w:noProof/>
          <w:color w:val="000000"/>
        </w:rPr>
        <w:drawing>
          <wp:inline distT="0" distB="0" distL="0" distR="0" wp14:anchorId="57112F4A" wp14:editId="12567742">
            <wp:extent cx="2145792" cy="1540522"/>
            <wp:effectExtent l="0" t="0" r="635" b="0"/>
            <wp:docPr id="344306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06370" name="Рисунок 3443063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444" cy="169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8C4">
        <w:rPr>
          <w:color w:val="000000"/>
        </w:rPr>
        <w:t xml:space="preserve"> </w:t>
      </w:r>
      <w:r w:rsidRPr="00C928C4">
        <w:rPr>
          <w:noProof/>
          <w:color w:val="000000"/>
        </w:rPr>
        <w:drawing>
          <wp:inline distT="0" distB="0" distL="0" distR="0" wp14:anchorId="1FC80991" wp14:editId="5823D192">
            <wp:extent cx="3377045" cy="1666875"/>
            <wp:effectExtent l="0" t="0" r="1270" b="0"/>
            <wp:docPr id="688340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40796" name="Рисунок 68834079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37350" r="43199" b="24303"/>
                    <a:stretch/>
                  </pic:blipFill>
                  <pic:spPr bwMode="auto">
                    <a:xfrm>
                      <a:off x="0" y="0"/>
                      <a:ext cx="3378985" cy="166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D3076" w14:textId="131B76AF" w:rsidR="00C928C4" w:rsidRPr="00C928C4" w:rsidRDefault="00C928C4" w:rsidP="005736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C928C4">
        <w:rPr>
          <w:color w:val="000000"/>
        </w:rPr>
        <w:t xml:space="preserve">Таким образом, комплексы </w:t>
      </w:r>
      <w:proofErr w:type="spellStart"/>
      <w:r w:rsidRPr="00C928C4">
        <w:rPr>
          <w:color w:val="000000"/>
          <w:lang w:val="en-US"/>
        </w:rPr>
        <w:t>LnCl</w:t>
      </w:r>
      <w:proofErr w:type="spellEnd"/>
      <w:r w:rsidRPr="00C928C4">
        <w:rPr>
          <w:color w:val="000000"/>
          <w:vertAlign w:val="subscript"/>
        </w:rPr>
        <w:t>3</w:t>
      </w:r>
      <w:r w:rsidRPr="00C928C4">
        <w:rPr>
          <w:color w:val="000000"/>
        </w:rPr>
        <w:t>(</w:t>
      </w:r>
      <w:r w:rsidRPr="00C928C4">
        <w:rPr>
          <w:color w:val="000000"/>
          <w:lang w:val="en-US"/>
        </w:rPr>
        <w:t>R</w:t>
      </w:r>
      <w:r w:rsidRPr="00C928C4">
        <w:rPr>
          <w:color w:val="000000"/>
          <w:vertAlign w:val="subscript"/>
        </w:rPr>
        <w:t>3</w:t>
      </w:r>
      <w:r w:rsidRPr="00C928C4">
        <w:rPr>
          <w:color w:val="000000"/>
          <w:lang w:val="en-US"/>
        </w:rPr>
        <w:t>tach</w:t>
      </w:r>
      <w:r w:rsidRPr="00C928C4">
        <w:rPr>
          <w:color w:val="000000"/>
        </w:rPr>
        <w:t>)</w:t>
      </w:r>
      <w:r w:rsidRPr="00C928C4">
        <w:rPr>
          <w:color w:val="000000"/>
          <w:vertAlign w:val="subscript"/>
        </w:rPr>
        <w:t xml:space="preserve">2 </w:t>
      </w:r>
      <w:r w:rsidRPr="00C928C4">
        <w:rPr>
          <w:color w:val="000000"/>
        </w:rPr>
        <w:t>значительно расширяют возможности</w:t>
      </w:r>
      <w:r w:rsidRPr="00C928C4">
        <w:rPr>
          <w:color w:val="000000"/>
          <w:vertAlign w:val="subscript"/>
        </w:rPr>
        <w:t xml:space="preserve"> </w:t>
      </w:r>
      <w:r w:rsidRPr="00C928C4">
        <w:rPr>
          <w:color w:val="000000"/>
        </w:rPr>
        <w:t xml:space="preserve">для дизайна соединений </w:t>
      </w:r>
      <w:r w:rsidRPr="00C928C4">
        <w:rPr>
          <w:color w:val="000000"/>
          <w:lang w:val="en-US"/>
        </w:rPr>
        <w:t>Ln</w:t>
      </w:r>
      <w:r w:rsidRPr="00C928C4">
        <w:rPr>
          <w:color w:val="000000"/>
        </w:rPr>
        <w:t xml:space="preserve"> и открывают новые пути создания высоко-люминесцентных соединений и катализаторов (за счет возможности получать комплексы в отсутствии донорных растворителей).</w:t>
      </w:r>
    </w:p>
    <w:p w14:paraId="0D890586" w14:textId="250B76F0" w:rsidR="00C928C4" w:rsidRPr="00CF6E3B" w:rsidRDefault="00C928C4" w:rsidP="005736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Литература</w:t>
      </w:r>
    </w:p>
    <w:p w14:paraId="5CA5934F" w14:textId="600A9DD9" w:rsidR="00C928C4" w:rsidRPr="00C928C4" w:rsidRDefault="00C928C4" w:rsidP="00F801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CF6E3B">
        <w:rPr>
          <w:color w:val="000000"/>
        </w:rPr>
        <w:t>1.</w:t>
      </w:r>
      <w:r w:rsidRPr="00CF6E3B">
        <w:rPr>
          <w:i/>
          <w:iCs/>
          <w:color w:val="000000"/>
        </w:rPr>
        <w:t xml:space="preserve"> </w:t>
      </w:r>
      <w:proofErr w:type="spellStart"/>
      <w:r w:rsidR="005736B3" w:rsidRPr="005736B3">
        <w:rPr>
          <w:color w:val="000000"/>
          <w:lang w:val="en-US"/>
        </w:rPr>
        <w:t>Degtyareva</w:t>
      </w:r>
      <w:proofErr w:type="spellEnd"/>
      <w:r w:rsidR="005736B3" w:rsidRPr="00CF6E3B">
        <w:rPr>
          <w:color w:val="000000"/>
        </w:rPr>
        <w:t xml:space="preserve"> </w:t>
      </w:r>
      <w:r w:rsidR="005736B3" w:rsidRPr="005736B3">
        <w:rPr>
          <w:color w:val="000000"/>
          <w:lang w:val="en-US"/>
        </w:rPr>
        <w:t>S</w:t>
      </w:r>
      <w:r w:rsidR="005736B3" w:rsidRPr="00CF6E3B">
        <w:rPr>
          <w:color w:val="000000"/>
        </w:rPr>
        <w:t xml:space="preserve">. </w:t>
      </w:r>
      <w:r w:rsidR="005736B3" w:rsidRPr="005736B3">
        <w:rPr>
          <w:color w:val="000000"/>
          <w:lang w:val="en-US"/>
        </w:rPr>
        <w:t>S</w:t>
      </w:r>
      <w:r w:rsidR="005736B3" w:rsidRPr="00CF6E3B">
        <w:rPr>
          <w:color w:val="000000"/>
        </w:rPr>
        <w:t xml:space="preserve">. </w:t>
      </w:r>
      <w:r w:rsidR="005736B3" w:rsidRPr="005736B3">
        <w:rPr>
          <w:color w:val="000000"/>
          <w:lang w:val="en-US"/>
        </w:rPr>
        <w:t>et</w:t>
      </w:r>
      <w:r w:rsidR="005736B3" w:rsidRPr="00CF6E3B">
        <w:rPr>
          <w:color w:val="000000"/>
        </w:rPr>
        <w:t xml:space="preserve"> </w:t>
      </w:r>
      <w:r w:rsidR="005736B3" w:rsidRPr="005736B3">
        <w:rPr>
          <w:color w:val="000000"/>
          <w:lang w:val="en-US"/>
        </w:rPr>
        <w:t>al</w:t>
      </w:r>
      <w:r w:rsidR="005736B3" w:rsidRPr="00CF6E3B">
        <w:rPr>
          <w:color w:val="000000"/>
        </w:rPr>
        <w:t xml:space="preserve">. </w:t>
      </w:r>
      <w:r w:rsidR="005736B3" w:rsidRPr="005736B3">
        <w:rPr>
          <w:color w:val="000000"/>
          <w:lang w:val="en-US"/>
        </w:rPr>
        <w:t xml:space="preserve">Tridentate Nitrogen Ligand as a Tool for the Construction of Well-Defined Rare Earth Trichloride Complexes //Inorganic Chemistry. 2024. </w:t>
      </w:r>
      <w:r w:rsidR="005736B3">
        <w:rPr>
          <w:color w:val="000000"/>
          <w:lang w:val="en-US"/>
        </w:rPr>
        <w:t>Vol</w:t>
      </w:r>
      <w:r w:rsidR="005736B3" w:rsidRPr="005736B3">
        <w:rPr>
          <w:color w:val="000000"/>
          <w:lang w:val="en-US"/>
        </w:rPr>
        <w:t xml:space="preserve">. 63. №. </w:t>
      </w:r>
      <w:r w:rsidR="005736B3" w:rsidRPr="005736B3">
        <w:rPr>
          <w:color w:val="000000"/>
        </w:rPr>
        <w:t>4.</w:t>
      </w:r>
      <w:r w:rsidR="005736B3">
        <w:rPr>
          <w:color w:val="000000"/>
          <w:lang w:val="en-US"/>
        </w:rPr>
        <w:t xml:space="preserve"> P</w:t>
      </w:r>
      <w:r w:rsidR="005736B3" w:rsidRPr="005736B3">
        <w:rPr>
          <w:color w:val="000000"/>
        </w:rPr>
        <w:t>. 1867-1878.</w:t>
      </w:r>
    </w:p>
    <w:p w14:paraId="07078E92" w14:textId="77777777" w:rsidR="00C928C4" w:rsidRPr="00C928C4" w:rsidRDefault="00C928C4" w:rsidP="005736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</w:p>
    <w:p w14:paraId="3486C755" w14:textId="28F2970F" w:rsidR="00116478" w:rsidRPr="00107AA3" w:rsidRDefault="00116478" w:rsidP="005736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</w:p>
    <w:sectPr w:rsidR="00116478" w:rsidRPr="00107AA3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07A5A"/>
    <w:multiLevelType w:val="hybridMultilevel"/>
    <w:tmpl w:val="FA205BC0"/>
    <w:lvl w:ilvl="0" w:tplc="6F4C194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D6232"/>
    <w:multiLevelType w:val="hybridMultilevel"/>
    <w:tmpl w:val="DD6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195290">
    <w:abstractNumId w:val="2"/>
  </w:num>
  <w:num w:numId="2" w16cid:durableId="298656977">
    <w:abstractNumId w:val="3"/>
  </w:num>
  <w:num w:numId="3" w16cid:durableId="1983001380">
    <w:abstractNumId w:val="1"/>
  </w:num>
  <w:num w:numId="4" w16cid:durableId="1050033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63966"/>
    <w:rsid w:val="00075D6E"/>
    <w:rsid w:val="00086081"/>
    <w:rsid w:val="0009449A"/>
    <w:rsid w:val="00094FD0"/>
    <w:rsid w:val="000D1DF6"/>
    <w:rsid w:val="000E334E"/>
    <w:rsid w:val="00101A1C"/>
    <w:rsid w:val="00103657"/>
    <w:rsid w:val="00106375"/>
    <w:rsid w:val="00107AA3"/>
    <w:rsid w:val="00116478"/>
    <w:rsid w:val="00130241"/>
    <w:rsid w:val="001E61C2"/>
    <w:rsid w:val="001F0493"/>
    <w:rsid w:val="0022260A"/>
    <w:rsid w:val="002264EE"/>
    <w:rsid w:val="0023307C"/>
    <w:rsid w:val="0031361E"/>
    <w:rsid w:val="00391C38"/>
    <w:rsid w:val="003B76D6"/>
    <w:rsid w:val="003E2601"/>
    <w:rsid w:val="003F4E6B"/>
    <w:rsid w:val="004A26A3"/>
    <w:rsid w:val="004F0EDF"/>
    <w:rsid w:val="00522BF1"/>
    <w:rsid w:val="005736B3"/>
    <w:rsid w:val="00590166"/>
    <w:rsid w:val="005D022B"/>
    <w:rsid w:val="005E5BE9"/>
    <w:rsid w:val="0069427D"/>
    <w:rsid w:val="006F7A19"/>
    <w:rsid w:val="007213E1"/>
    <w:rsid w:val="00775389"/>
    <w:rsid w:val="00797838"/>
    <w:rsid w:val="007C36D8"/>
    <w:rsid w:val="007F2744"/>
    <w:rsid w:val="008931BE"/>
    <w:rsid w:val="008C67E3"/>
    <w:rsid w:val="00914205"/>
    <w:rsid w:val="00921D45"/>
    <w:rsid w:val="009426C0"/>
    <w:rsid w:val="00980A65"/>
    <w:rsid w:val="009A66DB"/>
    <w:rsid w:val="009B2F80"/>
    <w:rsid w:val="009B3300"/>
    <w:rsid w:val="009F3380"/>
    <w:rsid w:val="00A02163"/>
    <w:rsid w:val="00A314FE"/>
    <w:rsid w:val="00AD7380"/>
    <w:rsid w:val="00BF36F8"/>
    <w:rsid w:val="00BF4622"/>
    <w:rsid w:val="00C52965"/>
    <w:rsid w:val="00C844E2"/>
    <w:rsid w:val="00C928C4"/>
    <w:rsid w:val="00CD00B1"/>
    <w:rsid w:val="00CF6E3B"/>
    <w:rsid w:val="00D22306"/>
    <w:rsid w:val="00D42542"/>
    <w:rsid w:val="00D8121C"/>
    <w:rsid w:val="00E22189"/>
    <w:rsid w:val="00E74069"/>
    <w:rsid w:val="00E81D35"/>
    <w:rsid w:val="00EB1F49"/>
    <w:rsid w:val="00F8016E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b">
    <w:name w:val="Revision"/>
    <w:hidden/>
    <w:uiPriority w:val="99"/>
    <w:semiHidden/>
    <w:rsid w:val="00AD7380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C928C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sdegtyareva@edu.hse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 Скрыпник</cp:lastModifiedBy>
  <cp:revision>8</cp:revision>
  <dcterms:created xsi:type="dcterms:W3CDTF">2024-12-16T00:35:00Z</dcterms:created>
  <dcterms:modified xsi:type="dcterms:W3CDTF">2025-03-19T08:29:00Z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