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BA6D6" w14:textId="77777777" w:rsidR="0079597C" w:rsidRPr="00222DF7" w:rsidRDefault="0079597C" w:rsidP="0079597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222DF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Синтез новых флуоресцентных бисфосфонатов для создания остеотропных систем адресной доставки</w:t>
      </w:r>
    </w:p>
    <w:p w14:paraId="458C589A" w14:textId="50396307" w:rsidR="0079597C" w:rsidRPr="00222DF7" w:rsidRDefault="0079597C" w:rsidP="0079597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22D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Барабанщиков И. В.</w:t>
      </w:r>
      <w:r w:rsidR="00987F7E" w:rsidRPr="00222D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, Струкова В.</w:t>
      </w:r>
      <w:r w:rsidRPr="00222D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А.</w:t>
      </w:r>
      <w:r w:rsidR="00987F7E" w:rsidRPr="00222D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, Юрьев Д.</w:t>
      </w:r>
      <w:r w:rsidRPr="00222D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Ю.</w:t>
      </w:r>
      <w:r w:rsidR="00987F7E" w:rsidRPr="00222D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, Ткаченко С.</w:t>
      </w:r>
      <w:r w:rsidRPr="00222D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В.</w:t>
      </w:r>
      <w:r w:rsidR="00987F7E" w:rsidRPr="00222D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, Ощепков М.</w:t>
      </w:r>
      <w:r w:rsidRPr="00222DF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С.</w:t>
      </w:r>
    </w:p>
    <w:p w14:paraId="342FE543" w14:textId="77777777" w:rsidR="0079597C" w:rsidRPr="00222DF7" w:rsidRDefault="0079597C" w:rsidP="0079597C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222DF7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Студент, 4 курс специалитета</w:t>
      </w:r>
    </w:p>
    <w:p w14:paraId="2C7B0299" w14:textId="77777777" w:rsidR="0079597C" w:rsidRPr="00222DF7" w:rsidRDefault="0079597C" w:rsidP="0079597C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ru-RU"/>
        </w:rPr>
      </w:pPr>
      <w:r w:rsidRPr="00222DF7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Российский химико-технологический университет им. Д. И. Менделеева,</w:t>
      </w:r>
      <w:r w:rsidRPr="00222DF7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br/>
        <w:t>факультет химико-фармацевтических технологий и биомедицинских препаратов, Москва, Россия</w:t>
      </w:r>
      <w:r w:rsidRPr="00222DF7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br/>
      </w:r>
      <w:r w:rsidRPr="00222DF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</w:t>
      </w:r>
      <w:r w:rsidRPr="00222DF7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-</w:t>
      </w:r>
      <w:r w:rsidRPr="00222DF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mail</w:t>
      </w:r>
      <w:r w:rsidRPr="00222DF7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: </w:t>
      </w:r>
      <w:hyperlink r:id="rId8" w:history="1">
        <w:r w:rsidRPr="00222DF7">
          <w:rPr>
            <w:rStyle w:val="a7"/>
            <w:rFonts w:ascii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>v</w:t>
        </w:r>
        <w:r w:rsidRPr="00222DF7">
          <w:rPr>
            <w:rStyle w:val="a7"/>
            <w:rFonts w:ascii="Times New Roman" w:hAnsi="Times New Roman" w:cs="Times New Roman"/>
            <w:i/>
            <w:color w:val="000000" w:themeColor="text1"/>
            <w:sz w:val="24"/>
            <w:szCs w:val="24"/>
            <w:lang w:val="ru-RU"/>
          </w:rPr>
          <w:t>.</w:t>
        </w:r>
        <w:r w:rsidRPr="00222DF7">
          <w:rPr>
            <w:rStyle w:val="a7"/>
            <w:rFonts w:ascii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>temulechek</w:t>
        </w:r>
        <w:r w:rsidRPr="00222DF7">
          <w:rPr>
            <w:rStyle w:val="a7"/>
            <w:rFonts w:ascii="Times New Roman" w:hAnsi="Times New Roman" w:cs="Times New Roman"/>
            <w:i/>
            <w:color w:val="000000" w:themeColor="text1"/>
            <w:sz w:val="24"/>
            <w:szCs w:val="24"/>
            <w:lang w:val="ru-RU"/>
          </w:rPr>
          <w:t>@</w:t>
        </w:r>
        <w:r w:rsidRPr="00222DF7">
          <w:rPr>
            <w:rStyle w:val="a7"/>
            <w:rFonts w:ascii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>gmail</w:t>
        </w:r>
        <w:r w:rsidRPr="00222DF7">
          <w:rPr>
            <w:rStyle w:val="a7"/>
            <w:rFonts w:ascii="Times New Roman" w:hAnsi="Times New Roman" w:cs="Times New Roman"/>
            <w:i/>
            <w:color w:val="000000" w:themeColor="text1"/>
            <w:sz w:val="24"/>
            <w:szCs w:val="24"/>
            <w:lang w:val="ru-RU"/>
          </w:rPr>
          <w:t>.</w:t>
        </w:r>
        <w:r w:rsidRPr="00222DF7">
          <w:rPr>
            <w:rStyle w:val="a7"/>
            <w:rFonts w:ascii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>com</w:t>
        </w:r>
      </w:hyperlink>
    </w:p>
    <w:p w14:paraId="785BB9F1" w14:textId="77777777" w:rsidR="00222DF7" w:rsidRPr="00222DF7" w:rsidRDefault="00513A2C" w:rsidP="00222DF7">
      <w:pPr>
        <w:pStyle w:val="a5"/>
        <w:ind w:firstLine="397"/>
        <w:contextualSpacing/>
        <w:jc w:val="both"/>
        <w:rPr>
          <w:rFonts w:eastAsiaTheme="minorHAnsi"/>
          <w:noProof/>
          <w:color w:val="000000" w:themeColor="text1"/>
        </w:rPr>
      </w:pPr>
      <w:r w:rsidRPr="00222DF7">
        <w:rPr>
          <w:rFonts w:eastAsiaTheme="minorHAnsi"/>
          <w:noProof/>
          <w:color w:val="000000" w:themeColor="text1"/>
          <w:lang w:val="uk-UA"/>
        </w:rPr>
        <w:t>Разработка новых флуоресцентных производных бисфосфонатов — перспективное направление в органической химии. Бисфосфонаты широко применяются для лечения остеопороза, предотвращая потерю костной массы, снижая риск переломов и минимизируя костные осложнения при он</w:t>
      </w:r>
      <w:bookmarkStart w:id="0" w:name="_GoBack"/>
      <w:bookmarkEnd w:id="0"/>
      <w:r w:rsidRPr="00222DF7">
        <w:rPr>
          <w:rFonts w:eastAsiaTheme="minorHAnsi"/>
          <w:noProof/>
          <w:color w:val="000000" w:themeColor="text1"/>
          <w:lang w:val="uk-UA"/>
        </w:rPr>
        <w:t>кологических заболеваниях. Разработка флуорофоров с первичной амино</w:t>
      </w:r>
      <w:r w:rsidRPr="00222DF7">
        <w:rPr>
          <w:rFonts w:eastAsiaTheme="minorHAnsi"/>
          <w:noProof/>
          <w:color w:val="000000" w:themeColor="text1"/>
        </w:rPr>
        <w:t>- или гидрокси</w:t>
      </w:r>
      <w:r w:rsidRPr="00222DF7">
        <w:rPr>
          <w:rFonts w:eastAsiaTheme="minorHAnsi"/>
          <w:noProof/>
          <w:color w:val="000000" w:themeColor="text1"/>
          <w:lang w:val="uk-UA"/>
        </w:rPr>
        <w:t xml:space="preserve">группой открывает возможность их конъюгации с различными молекулами, например, сополимером гликолевой и молочной кислот, для создания остеотропных систем адресной доставки с </w:t>
      </w:r>
      <w:r w:rsidR="005B689A" w:rsidRPr="00222DF7">
        <w:rPr>
          <w:rFonts w:eastAsiaTheme="minorHAnsi"/>
          <w:noProof/>
          <w:color w:val="000000" w:themeColor="text1"/>
          <w:lang w:val="uk-UA"/>
        </w:rPr>
        <w:t xml:space="preserve">возможностью </w:t>
      </w:r>
      <w:r w:rsidRPr="00222DF7">
        <w:rPr>
          <w:rFonts w:eastAsiaTheme="minorHAnsi"/>
          <w:noProof/>
          <w:color w:val="000000" w:themeColor="text1"/>
          <w:lang w:val="uk-UA"/>
        </w:rPr>
        <w:t>флуоресцентной визуализации</w:t>
      </w:r>
      <w:r w:rsidR="0027261A" w:rsidRPr="00222DF7">
        <w:rPr>
          <w:rFonts w:eastAsiaTheme="minorHAnsi"/>
          <w:noProof/>
          <w:color w:val="000000" w:themeColor="text1"/>
          <w:lang w:val="uk-UA"/>
        </w:rPr>
        <w:t xml:space="preserve"> для исследования костной ткани </w:t>
      </w:r>
      <w:r w:rsidR="0027261A" w:rsidRPr="00222DF7">
        <w:rPr>
          <w:rFonts w:eastAsiaTheme="minorHAnsi"/>
          <w:i/>
          <w:noProof/>
          <w:color w:val="000000" w:themeColor="text1"/>
          <w:lang w:val="uk-UA"/>
        </w:rPr>
        <w:t>in vivo</w:t>
      </w:r>
      <w:r w:rsidR="0027261A" w:rsidRPr="00222DF7">
        <w:rPr>
          <w:rFonts w:eastAsiaTheme="minorHAnsi"/>
          <w:noProof/>
          <w:color w:val="000000" w:themeColor="text1"/>
          <w:lang w:val="uk-UA"/>
        </w:rPr>
        <w:t xml:space="preserve"> и </w:t>
      </w:r>
      <w:r w:rsidR="0027261A" w:rsidRPr="00222DF7">
        <w:rPr>
          <w:rFonts w:eastAsiaTheme="minorHAnsi"/>
          <w:i/>
          <w:noProof/>
          <w:color w:val="000000" w:themeColor="text1"/>
          <w:lang w:val="uk-UA"/>
        </w:rPr>
        <w:t>in vitro</w:t>
      </w:r>
      <w:r w:rsidRPr="00222DF7">
        <w:rPr>
          <w:rFonts w:eastAsiaTheme="minorHAnsi"/>
          <w:noProof/>
          <w:color w:val="000000" w:themeColor="text1"/>
          <w:lang w:val="uk-UA"/>
        </w:rPr>
        <w:t>.</w:t>
      </w:r>
    </w:p>
    <w:p w14:paraId="00368F1C" w14:textId="13C9443A" w:rsidR="000C5DFD" w:rsidRPr="00222DF7" w:rsidRDefault="000C5DFD" w:rsidP="00222DF7">
      <w:pPr>
        <w:pStyle w:val="a5"/>
        <w:ind w:firstLine="397"/>
        <w:contextualSpacing/>
        <w:jc w:val="both"/>
        <w:rPr>
          <w:rFonts w:eastAsiaTheme="minorHAnsi"/>
          <w:noProof/>
          <w:color w:val="000000" w:themeColor="text1"/>
        </w:rPr>
      </w:pPr>
      <w:r w:rsidRPr="00222DF7">
        <w:rPr>
          <w:color w:val="000000" w:themeColor="text1"/>
        </w:rPr>
        <w:t>В данной работе описано получение</w:t>
      </w:r>
      <w:r w:rsidR="005B689A" w:rsidRPr="00222DF7">
        <w:rPr>
          <w:color w:val="000000" w:themeColor="text1"/>
        </w:rPr>
        <w:t xml:space="preserve"> двух</w:t>
      </w:r>
      <w:r w:rsidRPr="00222DF7">
        <w:rPr>
          <w:color w:val="000000" w:themeColor="text1"/>
        </w:rPr>
        <w:t xml:space="preserve"> </w:t>
      </w:r>
      <w:proofErr w:type="gramStart"/>
      <w:r w:rsidRPr="00222DF7">
        <w:rPr>
          <w:color w:val="000000" w:themeColor="text1"/>
        </w:rPr>
        <w:t>α-</w:t>
      </w:r>
      <w:proofErr w:type="spellStart"/>
      <w:proofErr w:type="gramEnd"/>
      <w:r w:rsidRPr="00222DF7">
        <w:rPr>
          <w:color w:val="000000" w:themeColor="text1"/>
        </w:rPr>
        <w:t>гидроксибисфосфонат</w:t>
      </w:r>
      <w:r w:rsidR="005B689A" w:rsidRPr="00222DF7">
        <w:rPr>
          <w:color w:val="000000" w:themeColor="text1"/>
        </w:rPr>
        <w:t>ов</w:t>
      </w:r>
      <w:proofErr w:type="spellEnd"/>
      <w:r w:rsidRPr="00222DF7">
        <w:rPr>
          <w:color w:val="000000" w:themeColor="text1"/>
        </w:rPr>
        <w:t xml:space="preserve"> </w:t>
      </w:r>
      <w:r w:rsidR="005B689A" w:rsidRPr="00222DF7">
        <w:rPr>
          <w:color w:val="000000" w:themeColor="text1"/>
        </w:rPr>
        <w:t>на основе 1,8-нафталимида</w:t>
      </w:r>
      <w:r w:rsidR="005B689A" w:rsidRPr="00222DF7">
        <w:rPr>
          <w:b/>
          <w:bCs/>
          <w:color w:val="000000" w:themeColor="text1"/>
        </w:rPr>
        <w:t xml:space="preserve"> </w:t>
      </w:r>
      <w:r w:rsidRPr="00222DF7">
        <w:rPr>
          <w:b/>
          <w:bCs/>
          <w:color w:val="000000" w:themeColor="text1"/>
        </w:rPr>
        <w:t xml:space="preserve">5 </w:t>
      </w:r>
      <w:r w:rsidR="005B689A" w:rsidRPr="00222DF7">
        <w:rPr>
          <w:color w:val="000000" w:themeColor="text1"/>
        </w:rPr>
        <w:t xml:space="preserve">и </w:t>
      </w:r>
      <w:r w:rsidR="005B689A" w:rsidRPr="00222DF7">
        <w:rPr>
          <w:b/>
          <w:bCs/>
          <w:color w:val="000000" w:themeColor="text1"/>
        </w:rPr>
        <w:t>7</w:t>
      </w:r>
      <w:r w:rsidRPr="00222DF7">
        <w:rPr>
          <w:color w:val="000000" w:themeColor="text1"/>
        </w:rPr>
        <w:t>, содержащ</w:t>
      </w:r>
      <w:r w:rsidR="005B689A" w:rsidRPr="00222DF7">
        <w:rPr>
          <w:color w:val="000000" w:themeColor="text1"/>
        </w:rPr>
        <w:t>их</w:t>
      </w:r>
      <w:r w:rsidRPr="00222DF7">
        <w:rPr>
          <w:color w:val="000000" w:themeColor="text1"/>
        </w:rPr>
        <w:t xml:space="preserve"> первичную </w:t>
      </w:r>
      <w:proofErr w:type="spellStart"/>
      <w:r w:rsidRPr="00222DF7">
        <w:rPr>
          <w:color w:val="000000" w:themeColor="text1"/>
        </w:rPr>
        <w:t>амино</w:t>
      </w:r>
      <w:proofErr w:type="spellEnd"/>
      <w:r w:rsidR="005B689A" w:rsidRPr="00222DF7">
        <w:rPr>
          <w:color w:val="000000" w:themeColor="text1"/>
        </w:rPr>
        <w:t xml:space="preserve">- и </w:t>
      </w:r>
      <w:proofErr w:type="spellStart"/>
      <w:r w:rsidR="005B689A" w:rsidRPr="00222DF7">
        <w:rPr>
          <w:color w:val="000000" w:themeColor="text1"/>
        </w:rPr>
        <w:t>гидрокси</w:t>
      </w:r>
      <w:r w:rsidRPr="00222DF7">
        <w:rPr>
          <w:color w:val="000000" w:themeColor="text1"/>
        </w:rPr>
        <w:t>групп</w:t>
      </w:r>
      <w:r w:rsidR="005B689A" w:rsidRPr="00222DF7">
        <w:rPr>
          <w:color w:val="000000" w:themeColor="text1"/>
        </w:rPr>
        <w:t>у</w:t>
      </w:r>
      <w:proofErr w:type="spellEnd"/>
      <w:r w:rsidRPr="00222DF7">
        <w:rPr>
          <w:color w:val="000000" w:themeColor="text1"/>
        </w:rPr>
        <w:t xml:space="preserve">. Первым этапом работы являлось проведение реакции </w:t>
      </w:r>
      <w:proofErr w:type="spellStart"/>
      <w:r w:rsidRPr="00222DF7">
        <w:rPr>
          <w:color w:val="000000" w:themeColor="text1"/>
        </w:rPr>
        <w:t>ацилирования</w:t>
      </w:r>
      <w:proofErr w:type="spellEnd"/>
      <w:r w:rsidRPr="00222DF7">
        <w:rPr>
          <w:color w:val="000000" w:themeColor="text1"/>
        </w:rPr>
        <w:t xml:space="preserve"> (11-амино-1-гидрокси-1-фосфоноундекан) </w:t>
      </w:r>
      <w:proofErr w:type="spellStart"/>
      <w:r w:rsidRPr="00222DF7">
        <w:rPr>
          <w:color w:val="000000" w:themeColor="text1"/>
        </w:rPr>
        <w:t>фосфоновая</w:t>
      </w:r>
      <w:proofErr w:type="spellEnd"/>
      <w:r w:rsidRPr="00222DF7">
        <w:rPr>
          <w:color w:val="000000" w:themeColor="text1"/>
        </w:rPr>
        <w:t xml:space="preserve"> кислоты </w:t>
      </w:r>
      <w:r w:rsidRPr="00222DF7">
        <w:rPr>
          <w:b/>
          <w:bCs/>
          <w:color w:val="000000" w:themeColor="text1"/>
        </w:rPr>
        <w:t>2</w:t>
      </w:r>
      <w:r w:rsidRPr="00222DF7">
        <w:rPr>
          <w:color w:val="000000" w:themeColor="text1"/>
        </w:rPr>
        <w:t xml:space="preserve"> 4-хлор-1,8-нафталевым ангидридом </w:t>
      </w:r>
      <w:r w:rsidRPr="00222DF7">
        <w:rPr>
          <w:b/>
          <w:bCs/>
          <w:color w:val="000000" w:themeColor="text1"/>
        </w:rPr>
        <w:t>1</w:t>
      </w:r>
      <w:r w:rsidRPr="00222DF7">
        <w:rPr>
          <w:color w:val="000000" w:themeColor="text1"/>
        </w:rPr>
        <w:t xml:space="preserve"> при добавлении </w:t>
      </w:r>
      <w:proofErr w:type="spellStart"/>
      <w:r w:rsidRPr="00222DF7">
        <w:rPr>
          <w:color w:val="000000" w:themeColor="text1"/>
        </w:rPr>
        <w:t>триэтиламина</w:t>
      </w:r>
      <w:proofErr w:type="spellEnd"/>
      <w:r w:rsidRPr="00222DF7">
        <w:rPr>
          <w:color w:val="000000" w:themeColor="text1"/>
        </w:rPr>
        <w:t xml:space="preserve"> в качестве основания и каталитического количества </w:t>
      </w:r>
      <w:proofErr w:type="spellStart"/>
      <w:r w:rsidRPr="00222DF7">
        <w:rPr>
          <w:color w:val="000000" w:themeColor="text1"/>
        </w:rPr>
        <w:t>диметиламинопиридина</w:t>
      </w:r>
      <w:proofErr w:type="spellEnd"/>
      <w:r w:rsidRPr="00222DF7">
        <w:rPr>
          <w:color w:val="000000" w:themeColor="text1"/>
        </w:rPr>
        <w:t xml:space="preserve"> (ДМАП). Замещение хлора осуществляли по реакции нуклеофильного ароматического замещения на </w:t>
      </w:r>
      <w:proofErr w:type="spellStart"/>
      <w:r w:rsidRPr="00222DF7">
        <w:rPr>
          <w:color w:val="000000" w:themeColor="text1"/>
        </w:rPr>
        <w:t>этилендиамин</w:t>
      </w:r>
      <w:proofErr w:type="spellEnd"/>
      <w:r w:rsidRPr="00222DF7">
        <w:rPr>
          <w:color w:val="000000" w:themeColor="text1"/>
        </w:rPr>
        <w:t xml:space="preserve"> в среде </w:t>
      </w:r>
      <w:proofErr w:type="spellStart"/>
      <w:r w:rsidRPr="00222DF7">
        <w:rPr>
          <w:color w:val="000000" w:themeColor="text1"/>
        </w:rPr>
        <w:t>диметилформамида</w:t>
      </w:r>
      <w:proofErr w:type="spellEnd"/>
      <w:r w:rsidRPr="00222DF7">
        <w:rPr>
          <w:color w:val="000000" w:themeColor="text1"/>
        </w:rPr>
        <w:t xml:space="preserve"> при 150</w:t>
      </w:r>
      <w:r w:rsidR="00222DF7">
        <w:rPr>
          <w:color w:val="000000"/>
          <w:lang w:val="en-US"/>
        </w:rPr>
        <w:t> </w:t>
      </w:r>
      <w:r w:rsidRPr="00222DF7">
        <w:rPr>
          <w:color w:val="000000" w:themeColor="text1"/>
        </w:rPr>
        <w:t xml:space="preserve">ºС. Выход продукта </w:t>
      </w:r>
      <w:r w:rsidRPr="00222DF7">
        <w:rPr>
          <w:b/>
          <w:bCs/>
          <w:color w:val="000000" w:themeColor="text1"/>
        </w:rPr>
        <w:t>5</w:t>
      </w:r>
      <w:r w:rsidRPr="00222DF7">
        <w:rPr>
          <w:color w:val="000000" w:themeColor="text1"/>
        </w:rPr>
        <w:t xml:space="preserve"> реакции составил 51%. Замещение хлора в среде этиленгликоля </w:t>
      </w:r>
      <w:r w:rsidRPr="00222DF7">
        <w:rPr>
          <w:b/>
          <w:color w:val="000000" w:themeColor="text1"/>
        </w:rPr>
        <w:t>6</w:t>
      </w:r>
      <w:r w:rsidRPr="00222DF7">
        <w:rPr>
          <w:color w:val="000000" w:themeColor="text1"/>
        </w:rPr>
        <w:t xml:space="preserve"> при 135</w:t>
      </w:r>
      <w:r w:rsidR="00222DF7">
        <w:rPr>
          <w:color w:val="000000"/>
          <w:lang w:val="en-US"/>
        </w:rPr>
        <w:t> </w:t>
      </w:r>
      <w:r w:rsidRPr="00222DF7">
        <w:rPr>
          <w:color w:val="000000" w:themeColor="text1"/>
        </w:rPr>
        <w:t>º</w:t>
      </w:r>
      <w:proofErr w:type="gramStart"/>
      <w:r w:rsidRPr="00222DF7">
        <w:rPr>
          <w:color w:val="000000" w:themeColor="text1"/>
        </w:rPr>
        <w:t>С позволило</w:t>
      </w:r>
      <w:proofErr w:type="gramEnd"/>
      <w:r w:rsidRPr="00222DF7">
        <w:rPr>
          <w:color w:val="000000" w:themeColor="text1"/>
        </w:rPr>
        <w:t xml:space="preserve"> получить продукт </w:t>
      </w:r>
      <w:r w:rsidRPr="00222DF7">
        <w:rPr>
          <w:b/>
          <w:color w:val="000000" w:themeColor="text1"/>
        </w:rPr>
        <w:t>7</w:t>
      </w:r>
      <w:r w:rsidRPr="00222DF7">
        <w:rPr>
          <w:color w:val="000000" w:themeColor="text1"/>
        </w:rPr>
        <w:t xml:space="preserve"> с выходом 40%.</w:t>
      </w:r>
    </w:p>
    <w:p w14:paraId="3C5D571D" w14:textId="6D933640" w:rsidR="00222DF7" w:rsidRPr="00222DF7" w:rsidRDefault="00222DF7" w:rsidP="00222DF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22DF7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drawing>
          <wp:anchor distT="0" distB="0" distL="114300" distR="114300" simplePos="0" relativeHeight="251658240" behindDoc="0" locked="0" layoutInCell="1" allowOverlap="1" wp14:anchorId="2AF53DA5" wp14:editId="60688165">
            <wp:simplePos x="0" y="0"/>
            <wp:positionH relativeFrom="column">
              <wp:posOffset>1088390</wp:posOffset>
            </wp:positionH>
            <wp:positionV relativeFrom="paragraph">
              <wp:posOffset>113030</wp:posOffset>
            </wp:positionV>
            <wp:extent cx="4078605" cy="2701290"/>
            <wp:effectExtent l="0" t="0" r="0" b="381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605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A2C" w:rsidRPr="00222DF7">
        <w:rPr>
          <w:rFonts w:ascii="Times New Roman" w:hAnsi="Times New Roman" w:cs="Times New Roman"/>
          <w:color w:val="000000" w:themeColor="text1"/>
          <w:sz w:val="24"/>
          <w:szCs w:val="24"/>
        </w:rPr>
        <w:t>Схема 1. Синтез α-гидроксибисфосфонат</w:t>
      </w:r>
      <w:r w:rsidR="00513A2C" w:rsidRPr="00222DF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</w:t>
      </w:r>
      <w:r w:rsidR="005B689A" w:rsidRPr="00222DF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B689A" w:rsidRPr="00222D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5</w:t>
      </w:r>
      <w:r w:rsidR="005B689A" w:rsidRPr="00222DF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r w:rsidR="005B689A" w:rsidRPr="00222D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7</w:t>
      </w:r>
    </w:p>
    <w:p w14:paraId="6B4FCCCB" w14:textId="1EE76E41" w:rsidR="00222DF7" w:rsidRPr="00222DF7" w:rsidRDefault="00513A2C" w:rsidP="00222DF7">
      <w:pPr>
        <w:ind w:firstLine="39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22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флуорофора </w:t>
      </w:r>
      <w:r w:rsidRPr="00222D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222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изучены спектрально-люминесцентные свойства в дихлорметане, ДМСО и воде. Соединение имеет максимум поглощения при 447</w:t>
      </w:r>
      <w:r w:rsidR="00222DF7">
        <w:rPr>
          <w:color w:val="000000"/>
          <w:lang w:val="en-US"/>
        </w:rPr>
        <w:t> </w:t>
      </w:r>
      <w:r w:rsidRPr="00222DF7">
        <w:rPr>
          <w:rFonts w:ascii="Times New Roman" w:hAnsi="Times New Roman" w:cs="Times New Roman"/>
          <w:color w:val="000000" w:themeColor="text1"/>
          <w:sz w:val="24"/>
          <w:szCs w:val="24"/>
        </w:rPr>
        <w:t>нм и флуоресценции при 524</w:t>
      </w:r>
      <w:r w:rsidR="00222DF7">
        <w:rPr>
          <w:color w:val="000000"/>
          <w:lang w:val="en-US"/>
        </w:rPr>
        <w:t> </w:t>
      </w:r>
      <w:r w:rsidRPr="00222DF7">
        <w:rPr>
          <w:rFonts w:ascii="Times New Roman" w:hAnsi="Times New Roman" w:cs="Times New Roman"/>
          <w:color w:val="000000" w:themeColor="text1"/>
          <w:sz w:val="24"/>
          <w:szCs w:val="24"/>
        </w:rPr>
        <w:t>нм (зеленая область спектра).</w:t>
      </w:r>
    </w:p>
    <w:p w14:paraId="2EE76573" w14:textId="77777777" w:rsidR="00222DF7" w:rsidRPr="00222DF7" w:rsidRDefault="00513A2C" w:rsidP="00222DF7">
      <w:pPr>
        <w:ind w:firstLine="39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22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бисфосфоната </w:t>
      </w:r>
      <w:r w:rsidRPr="00222D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222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исследовано распределение в клеточной линии остеосаркомы Saos-2. Установлено, что соединение эффективно интернализуется в клетки, частично связываясь с внеклеточным матриксом.</w:t>
      </w:r>
    </w:p>
    <w:p w14:paraId="6E320241" w14:textId="7E2BB8E7" w:rsidR="000C5DFD" w:rsidRPr="00222DF7" w:rsidRDefault="00513A2C" w:rsidP="00222DF7">
      <w:pPr>
        <w:ind w:firstLine="39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22DF7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с высоким выходом синтезированы новые флуоресцентные α-гидроксибисфосфонаты на основе 1,8-нафталимида, перспективные для изучения процессов в костной ткани.</w:t>
      </w:r>
    </w:p>
    <w:sectPr w:rsidR="000C5DFD" w:rsidRPr="00222DF7" w:rsidSect="00513A2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0F721" w14:textId="77777777" w:rsidR="00633BAB" w:rsidRDefault="00633BAB" w:rsidP="00987F7E">
      <w:r>
        <w:separator/>
      </w:r>
    </w:p>
  </w:endnote>
  <w:endnote w:type="continuationSeparator" w:id="0">
    <w:p w14:paraId="6953FC09" w14:textId="77777777" w:rsidR="00633BAB" w:rsidRDefault="00633BAB" w:rsidP="0098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4F4B4" w14:textId="77777777" w:rsidR="00633BAB" w:rsidRDefault="00633BAB" w:rsidP="00987F7E">
      <w:r>
        <w:separator/>
      </w:r>
    </w:p>
  </w:footnote>
  <w:footnote w:type="continuationSeparator" w:id="0">
    <w:p w14:paraId="54DB2EB6" w14:textId="77777777" w:rsidR="00633BAB" w:rsidRDefault="00633BAB" w:rsidP="00987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03"/>
    <w:rsid w:val="000C5DFD"/>
    <w:rsid w:val="00222DF7"/>
    <w:rsid w:val="0027261A"/>
    <w:rsid w:val="003F302D"/>
    <w:rsid w:val="00513A2C"/>
    <w:rsid w:val="005B689A"/>
    <w:rsid w:val="00633BAB"/>
    <w:rsid w:val="0067718A"/>
    <w:rsid w:val="0079597C"/>
    <w:rsid w:val="00987F7E"/>
    <w:rsid w:val="00A85A03"/>
    <w:rsid w:val="00B8752E"/>
    <w:rsid w:val="00BE30CA"/>
    <w:rsid w:val="00C3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64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8A"/>
    <w:pPr>
      <w:widowControl w:val="0"/>
      <w:spacing w:after="0" w:line="240" w:lineRule="auto"/>
      <w:contextualSpacing/>
      <w:jc w:val="both"/>
    </w:pPr>
    <w:rPr>
      <w:rFonts w:ascii="Arial" w:hAnsi="Arial"/>
      <w:noProof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A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A03"/>
    <w:rPr>
      <w:rFonts w:ascii="Tahoma" w:hAnsi="Tahoma" w:cs="Tahoma"/>
      <w:noProof/>
      <w:sz w:val="16"/>
      <w:szCs w:val="16"/>
      <w:lang w:val="uk-UA"/>
    </w:rPr>
  </w:style>
  <w:style w:type="paragraph" w:styleId="a5">
    <w:name w:val="Body Text"/>
    <w:basedOn w:val="a"/>
    <w:link w:val="a6"/>
    <w:uiPriority w:val="1"/>
    <w:unhideWhenUsed/>
    <w:qFormat/>
    <w:rsid w:val="000C5DFD"/>
    <w:pPr>
      <w:autoSpaceDE w:val="0"/>
      <w:autoSpaceDN w:val="0"/>
      <w:contextualSpacing w:val="0"/>
      <w:jc w:val="left"/>
    </w:pPr>
    <w:rPr>
      <w:rFonts w:ascii="Times New Roman" w:eastAsia="Times New Roman" w:hAnsi="Times New Roman" w:cs="Times New Roman"/>
      <w:noProof w:val="0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0C5DFD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9597C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987F7E"/>
    <w:rPr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87F7E"/>
    <w:rPr>
      <w:rFonts w:ascii="Arial" w:hAnsi="Arial"/>
      <w:noProof/>
      <w:sz w:val="20"/>
      <w:szCs w:val="20"/>
      <w:lang w:val="uk-UA"/>
    </w:rPr>
  </w:style>
  <w:style w:type="character" w:styleId="aa">
    <w:name w:val="footnote reference"/>
    <w:basedOn w:val="a0"/>
    <w:uiPriority w:val="99"/>
    <w:semiHidden/>
    <w:unhideWhenUsed/>
    <w:rsid w:val="00987F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8A"/>
    <w:pPr>
      <w:widowControl w:val="0"/>
      <w:spacing w:after="0" w:line="240" w:lineRule="auto"/>
      <w:contextualSpacing/>
      <w:jc w:val="both"/>
    </w:pPr>
    <w:rPr>
      <w:rFonts w:ascii="Arial" w:hAnsi="Arial"/>
      <w:noProof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A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A03"/>
    <w:rPr>
      <w:rFonts w:ascii="Tahoma" w:hAnsi="Tahoma" w:cs="Tahoma"/>
      <w:noProof/>
      <w:sz w:val="16"/>
      <w:szCs w:val="16"/>
      <w:lang w:val="uk-UA"/>
    </w:rPr>
  </w:style>
  <w:style w:type="paragraph" w:styleId="a5">
    <w:name w:val="Body Text"/>
    <w:basedOn w:val="a"/>
    <w:link w:val="a6"/>
    <w:uiPriority w:val="1"/>
    <w:unhideWhenUsed/>
    <w:qFormat/>
    <w:rsid w:val="000C5DFD"/>
    <w:pPr>
      <w:autoSpaceDE w:val="0"/>
      <w:autoSpaceDN w:val="0"/>
      <w:contextualSpacing w:val="0"/>
      <w:jc w:val="left"/>
    </w:pPr>
    <w:rPr>
      <w:rFonts w:ascii="Times New Roman" w:eastAsia="Times New Roman" w:hAnsi="Times New Roman" w:cs="Times New Roman"/>
      <w:noProof w:val="0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0C5DFD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9597C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987F7E"/>
    <w:rPr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87F7E"/>
    <w:rPr>
      <w:rFonts w:ascii="Arial" w:hAnsi="Arial"/>
      <w:noProof/>
      <w:sz w:val="20"/>
      <w:szCs w:val="20"/>
      <w:lang w:val="uk-UA"/>
    </w:rPr>
  </w:style>
  <w:style w:type="character" w:styleId="aa">
    <w:name w:val="footnote reference"/>
    <w:basedOn w:val="a0"/>
    <w:uiPriority w:val="99"/>
    <w:semiHidden/>
    <w:unhideWhenUsed/>
    <w:rsid w:val="00987F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temulechek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ECE2CC5-5724-4036-9722-64E46455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1476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4</cp:revision>
  <dcterms:created xsi:type="dcterms:W3CDTF">2025-02-26T18:25:00Z</dcterms:created>
  <dcterms:modified xsi:type="dcterms:W3CDTF">2025-02-28T19:41:00Z</dcterms:modified>
</cp:coreProperties>
</file>