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CB" w:rsidRDefault="009A3FFE" w:rsidP="006A18B3">
      <w:pPr>
        <w:ind w:firstLine="340"/>
        <w:contextualSpacing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Каскадный синтез </w:t>
      </w:r>
      <w:proofErr w:type="spellStart"/>
      <w:r>
        <w:rPr>
          <w:b/>
          <w:bCs/>
          <w:color w:val="000000"/>
          <w:shd w:val="clear" w:color="auto" w:fill="FFFFFF"/>
        </w:rPr>
        <w:t>фосфорилзамещенных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спироиндолинонов</w:t>
      </w:r>
      <w:proofErr w:type="spellEnd"/>
      <w:r>
        <w:rPr>
          <w:b/>
          <w:bCs/>
          <w:color w:val="000000"/>
          <w:shd w:val="clear" w:color="auto" w:fill="FFFFFF"/>
        </w:rPr>
        <w:t xml:space="preserve">, </w:t>
      </w:r>
      <w:proofErr w:type="gramStart"/>
      <w:r>
        <w:rPr>
          <w:b/>
          <w:bCs/>
          <w:color w:val="000000"/>
          <w:shd w:val="clear" w:color="auto" w:fill="FFFFFF"/>
        </w:rPr>
        <w:t>содержащих</w:t>
      </w:r>
      <w:proofErr w:type="gramEnd"/>
      <w:r>
        <w:rPr>
          <w:b/>
          <w:bCs/>
          <w:color w:val="000000"/>
          <w:shd w:val="clear" w:color="auto" w:fill="FFFFFF"/>
        </w:rPr>
        <w:t xml:space="preserve"> фрагмент 3-фуранона</w:t>
      </w:r>
    </w:p>
    <w:p w:rsidR="006A18B3" w:rsidRPr="002274C5" w:rsidRDefault="009A3FFE" w:rsidP="006A18B3">
      <w:pPr>
        <w:ind w:firstLine="340"/>
        <w:contextualSpacing/>
        <w:jc w:val="center"/>
        <w:rPr>
          <w:b/>
          <w:bCs/>
          <w:i/>
        </w:rPr>
      </w:pPr>
      <w:r w:rsidRPr="002274C5">
        <w:rPr>
          <w:b/>
          <w:bCs/>
          <w:i/>
        </w:rPr>
        <w:t>Савоськин</w:t>
      </w:r>
      <w:r w:rsidR="006A18B3" w:rsidRPr="002274C5">
        <w:rPr>
          <w:b/>
          <w:bCs/>
          <w:i/>
        </w:rPr>
        <w:t xml:space="preserve"> </w:t>
      </w:r>
      <w:r w:rsidRPr="002274C5">
        <w:rPr>
          <w:b/>
          <w:bCs/>
          <w:i/>
        </w:rPr>
        <w:t>А</w:t>
      </w:r>
      <w:r w:rsidR="006A18B3" w:rsidRPr="002274C5">
        <w:rPr>
          <w:b/>
          <w:bCs/>
          <w:i/>
        </w:rPr>
        <w:t>.</w:t>
      </w:r>
      <w:r w:rsidRPr="002274C5">
        <w:rPr>
          <w:b/>
          <w:bCs/>
          <w:i/>
        </w:rPr>
        <w:t>Е</w:t>
      </w:r>
      <w:r w:rsidR="006A18B3" w:rsidRPr="002274C5">
        <w:rPr>
          <w:b/>
          <w:bCs/>
          <w:i/>
        </w:rPr>
        <w:t>., Митрофанов А.Ю., Белецкая И.П.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A3FFE">
        <w:rPr>
          <w:i/>
          <w:color w:val="000000"/>
        </w:rPr>
        <w:t>6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:rsidR="00130241" w:rsidRPr="00FA471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A18B3">
        <w:rPr>
          <w:i/>
          <w:color w:val="000000"/>
          <w:lang w:val="en-US"/>
        </w:rPr>
        <w:t>E</w:t>
      </w:r>
      <w:r w:rsidR="003B76D6" w:rsidRPr="00FA471A">
        <w:rPr>
          <w:i/>
          <w:color w:val="000000"/>
        </w:rPr>
        <w:t>-</w:t>
      </w:r>
      <w:r w:rsidRPr="006A18B3">
        <w:rPr>
          <w:i/>
          <w:color w:val="000000"/>
          <w:lang w:val="en-US"/>
        </w:rPr>
        <w:t>mail</w:t>
      </w:r>
      <w:r w:rsidRPr="00FA471A">
        <w:rPr>
          <w:i/>
          <w:color w:val="000000"/>
        </w:rPr>
        <w:t xml:space="preserve">: </w:t>
      </w:r>
      <w:r w:rsidR="00037376" w:rsidRPr="002274C5">
        <w:rPr>
          <w:i/>
          <w:color w:val="000000"/>
          <w:u w:val="single"/>
        </w:rPr>
        <w:t>igel54fv@gmail.com</w:t>
      </w:r>
    </w:p>
    <w:p w:rsidR="001200A9" w:rsidRDefault="009A3FFE" w:rsidP="002274C5">
      <w:pPr>
        <w:shd w:val="clear" w:color="auto" w:fill="FFFFFF"/>
        <w:ind w:firstLine="397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Спироиндолиноны</w:t>
      </w:r>
      <w:proofErr w:type="spellEnd"/>
      <w:r w:rsidR="00E77C19">
        <w:rPr>
          <w:color w:val="000000"/>
        </w:rPr>
        <w:t xml:space="preserve"> </w:t>
      </w:r>
      <w:r w:rsidR="00C82FBF">
        <w:rPr>
          <w:color w:val="000000"/>
        </w:rPr>
        <w:t>обладают широким спектром биологической активности, хорошо известна их противоопухолевая активность</w:t>
      </w:r>
      <w:r w:rsidR="00AA1566" w:rsidRPr="00AA1566">
        <w:rPr>
          <w:color w:val="000000"/>
        </w:rPr>
        <w:t xml:space="preserve"> </w:t>
      </w:r>
      <w:r w:rsidR="00E84A74" w:rsidRPr="00E84A74">
        <w:rPr>
          <w:color w:val="000000"/>
        </w:rPr>
        <w:t>[1]</w:t>
      </w:r>
      <w:r w:rsidR="00C82FBF">
        <w:rPr>
          <w:color w:val="000000"/>
        </w:rPr>
        <w:t xml:space="preserve">. Ввиду того, что </w:t>
      </w:r>
      <w:proofErr w:type="spellStart"/>
      <w:r w:rsidR="00C82FBF">
        <w:rPr>
          <w:color w:val="000000"/>
        </w:rPr>
        <w:t>фосфоновые</w:t>
      </w:r>
      <w:proofErr w:type="spellEnd"/>
      <w:r w:rsidR="00C82FBF">
        <w:rPr>
          <w:color w:val="000000"/>
        </w:rPr>
        <w:t xml:space="preserve"> кислоты и их производные активно исследуются ввиду их биологической активности</w:t>
      </w:r>
      <w:r w:rsidR="00E84A74" w:rsidRPr="00E84A74">
        <w:rPr>
          <w:color w:val="000000"/>
        </w:rPr>
        <w:t xml:space="preserve"> [2]</w:t>
      </w:r>
      <w:r w:rsidR="00C82FBF">
        <w:rPr>
          <w:color w:val="000000"/>
        </w:rPr>
        <w:t xml:space="preserve">, представляет </w:t>
      </w:r>
      <w:r w:rsidR="000621E4">
        <w:rPr>
          <w:color w:val="000000"/>
        </w:rPr>
        <w:t>интерес</w:t>
      </w:r>
      <w:r w:rsidR="000621E4" w:rsidRPr="001200A9">
        <w:rPr>
          <w:color w:val="000000"/>
        </w:rPr>
        <w:t xml:space="preserve"> </w:t>
      </w:r>
      <w:r w:rsidR="001200A9" w:rsidRPr="001200A9">
        <w:rPr>
          <w:color w:val="000000"/>
        </w:rPr>
        <w:t>разработк</w:t>
      </w:r>
      <w:r w:rsidR="00CD4B05">
        <w:rPr>
          <w:color w:val="000000"/>
        </w:rPr>
        <w:t>а</w:t>
      </w:r>
      <w:r w:rsidR="001200A9" w:rsidRPr="001200A9">
        <w:rPr>
          <w:color w:val="000000"/>
        </w:rPr>
        <w:t xml:space="preserve"> методов синтеза </w:t>
      </w:r>
      <w:r w:rsidR="00C82FBF">
        <w:rPr>
          <w:color w:val="000000"/>
        </w:rPr>
        <w:t xml:space="preserve">новых </w:t>
      </w:r>
      <w:proofErr w:type="spellStart"/>
      <w:r w:rsidR="000621E4">
        <w:rPr>
          <w:color w:val="000000"/>
        </w:rPr>
        <w:t>спироиндолинонов</w:t>
      </w:r>
      <w:proofErr w:type="spellEnd"/>
      <w:r w:rsidR="00C82FBF">
        <w:rPr>
          <w:color w:val="000000"/>
        </w:rPr>
        <w:t xml:space="preserve">, содержащих </w:t>
      </w:r>
      <w:proofErr w:type="spellStart"/>
      <w:r w:rsidR="00C82FBF">
        <w:rPr>
          <w:color w:val="000000"/>
        </w:rPr>
        <w:t>фосфонатную</w:t>
      </w:r>
      <w:proofErr w:type="spellEnd"/>
      <w:r w:rsidR="00C82FBF">
        <w:rPr>
          <w:color w:val="000000"/>
        </w:rPr>
        <w:t xml:space="preserve"> группу</w:t>
      </w:r>
      <w:r w:rsidR="00AA1566" w:rsidRPr="00AA1566">
        <w:rPr>
          <w:color w:val="000000"/>
        </w:rPr>
        <w:t xml:space="preserve"> [3]</w:t>
      </w:r>
      <w:r w:rsidR="00C82FBF">
        <w:rPr>
          <w:color w:val="000000"/>
        </w:rPr>
        <w:t>.</w:t>
      </w:r>
    </w:p>
    <w:p w:rsidR="009B2F80" w:rsidRDefault="00C249A4" w:rsidP="002274C5">
      <w:pPr>
        <w:shd w:val="clear" w:color="auto" w:fill="FFFFFF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В данной работе показано, что </w:t>
      </w:r>
      <w:proofErr w:type="spellStart"/>
      <w:r>
        <w:rPr>
          <w:color w:val="000000"/>
        </w:rPr>
        <w:t>фосфорилзамещенные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сопряженные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иноны</w:t>
      </w:r>
      <w:proofErr w:type="spellEnd"/>
      <w:r>
        <w:rPr>
          <w:color w:val="000000"/>
        </w:rPr>
        <w:t xml:space="preserve"> </w:t>
      </w:r>
      <w:r w:rsidRPr="00C249A4">
        <w:rPr>
          <w:b/>
          <w:bCs/>
          <w:color w:val="000000"/>
        </w:rPr>
        <w:t>1</w:t>
      </w:r>
      <w:r w:rsidR="00147A2A">
        <w:rPr>
          <w:color w:val="000000"/>
        </w:rPr>
        <w:t xml:space="preserve">, содержащие </w:t>
      </w:r>
      <w:proofErr w:type="spellStart"/>
      <w:r w:rsidR="00147A2A">
        <w:rPr>
          <w:color w:val="000000"/>
        </w:rPr>
        <w:t>енолизуемый</w:t>
      </w:r>
      <w:proofErr w:type="spellEnd"/>
      <w:r w:rsidR="00147A2A">
        <w:rPr>
          <w:color w:val="000000"/>
        </w:rPr>
        <w:t xml:space="preserve"> фрагмент</w:t>
      </w:r>
      <w:r w:rsidR="000621E4">
        <w:rPr>
          <w:color w:val="000000"/>
        </w:rPr>
        <w:t>,</w:t>
      </w:r>
      <w:r w:rsidR="00147A2A">
        <w:rPr>
          <w:color w:val="000000"/>
        </w:rPr>
        <w:t xml:space="preserve"> </w:t>
      </w:r>
      <w:r>
        <w:rPr>
          <w:color w:val="000000"/>
        </w:rPr>
        <w:t>способны реагировать с</w:t>
      </w:r>
      <w:r w:rsidR="008E5E07">
        <w:rPr>
          <w:color w:val="000000"/>
        </w:rPr>
        <w:t xml:space="preserve"> </w:t>
      </w:r>
      <w:r w:rsidR="00147A2A">
        <w:rPr>
          <w:color w:val="000000"/>
        </w:rPr>
        <w:t xml:space="preserve">различными изатинами </w:t>
      </w:r>
      <w:r w:rsidR="00406D86" w:rsidRPr="00406D86">
        <w:rPr>
          <w:b/>
          <w:bCs/>
          <w:color w:val="000000"/>
        </w:rPr>
        <w:t>2</w:t>
      </w:r>
      <w:r w:rsidR="00147A2A">
        <w:rPr>
          <w:color w:val="000000"/>
        </w:rPr>
        <w:t xml:space="preserve"> в присутствии оснований в качестве катализаторов с образованием 3-фуранон содержащих </w:t>
      </w:r>
      <w:proofErr w:type="spellStart"/>
      <w:r w:rsidR="00147A2A">
        <w:rPr>
          <w:color w:val="000000"/>
        </w:rPr>
        <w:t>спироиндолинонов</w:t>
      </w:r>
      <w:proofErr w:type="spellEnd"/>
      <w:r w:rsidR="00C844C5">
        <w:rPr>
          <w:color w:val="000000"/>
        </w:rPr>
        <w:t xml:space="preserve"> </w:t>
      </w:r>
      <w:r w:rsidR="00C844C5" w:rsidRPr="00C844C5">
        <w:rPr>
          <w:b/>
          <w:bCs/>
          <w:color w:val="000000"/>
        </w:rPr>
        <w:t>3</w:t>
      </w:r>
      <w:r w:rsidR="00147A2A">
        <w:rPr>
          <w:color w:val="000000"/>
        </w:rPr>
        <w:t xml:space="preserve">. Реакция представляет собой каскадный процесс, приводящий к синтезу широкого ряда </w:t>
      </w:r>
      <w:proofErr w:type="spellStart"/>
      <w:r w:rsidR="00147A2A">
        <w:rPr>
          <w:color w:val="000000"/>
        </w:rPr>
        <w:t>фосфорилзамещенных</w:t>
      </w:r>
      <w:proofErr w:type="spellEnd"/>
      <w:r w:rsidR="00147A2A">
        <w:rPr>
          <w:color w:val="000000"/>
        </w:rPr>
        <w:t xml:space="preserve"> </w:t>
      </w:r>
      <w:proofErr w:type="spellStart"/>
      <w:r w:rsidR="00147A2A">
        <w:rPr>
          <w:color w:val="000000"/>
        </w:rPr>
        <w:t>спироиндолинонов</w:t>
      </w:r>
      <w:proofErr w:type="spellEnd"/>
      <w:r w:rsidR="00147A2A">
        <w:rPr>
          <w:color w:val="000000"/>
        </w:rPr>
        <w:t xml:space="preserve"> с хорошими выходами. Показано, что в реакцию вступают</w:t>
      </w:r>
      <w:r w:rsidR="00C844C5">
        <w:rPr>
          <w:color w:val="000000"/>
        </w:rPr>
        <w:t xml:space="preserve"> различные как </w:t>
      </w:r>
      <w:r w:rsidR="00C844C5">
        <w:rPr>
          <w:color w:val="000000"/>
          <w:lang w:val="en-US"/>
        </w:rPr>
        <w:t>N</w:t>
      </w:r>
      <w:r w:rsidR="00C844C5" w:rsidRPr="00C844C5">
        <w:rPr>
          <w:color w:val="000000"/>
        </w:rPr>
        <w:t>-</w:t>
      </w:r>
      <w:r w:rsidR="00C844C5">
        <w:rPr>
          <w:color w:val="000000"/>
        </w:rPr>
        <w:t>замещенные</w:t>
      </w:r>
      <w:r w:rsidR="00037376" w:rsidRPr="00037376">
        <w:rPr>
          <w:color w:val="000000"/>
        </w:rPr>
        <w:t>,</w:t>
      </w:r>
      <w:r w:rsidR="00C844C5">
        <w:rPr>
          <w:color w:val="000000"/>
        </w:rPr>
        <w:t xml:space="preserve"> так и незамещенные изатины, а также </w:t>
      </w:r>
      <w:proofErr w:type="spellStart"/>
      <w:r w:rsidR="00C844C5">
        <w:rPr>
          <w:color w:val="000000"/>
        </w:rPr>
        <w:t>инон</w:t>
      </w:r>
      <w:proofErr w:type="spellEnd"/>
      <w:r w:rsidR="00C844C5">
        <w:rPr>
          <w:color w:val="000000"/>
        </w:rPr>
        <w:t xml:space="preserve">, содержащий </w:t>
      </w:r>
      <w:proofErr w:type="spellStart"/>
      <w:r w:rsidR="00C844C5">
        <w:rPr>
          <w:color w:val="000000"/>
        </w:rPr>
        <w:t>циклобутановый</w:t>
      </w:r>
      <w:proofErr w:type="spellEnd"/>
      <w:r w:rsidR="00C844C5">
        <w:rPr>
          <w:color w:val="000000"/>
        </w:rPr>
        <w:t xml:space="preserve"> фрагмент, который позволяет получить </w:t>
      </w:r>
      <w:proofErr w:type="spellStart"/>
      <w:r w:rsidR="00C844C5">
        <w:rPr>
          <w:color w:val="000000"/>
        </w:rPr>
        <w:t>диспироциклические</w:t>
      </w:r>
      <w:proofErr w:type="spellEnd"/>
      <w:r w:rsidR="00C844C5">
        <w:rPr>
          <w:color w:val="000000"/>
        </w:rPr>
        <w:t xml:space="preserve"> соединения </w:t>
      </w:r>
      <w:r w:rsidR="00CD4B05" w:rsidRPr="00CD4B05">
        <w:rPr>
          <w:color w:val="000000"/>
        </w:rPr>
        <w:t>(</w:t>
      </w:r>
      <w:r w:rsidR="00CD4B05">
        <w:rPr>
          <w:color w:val="000000"/>
        </w:rPr>
        <w:t>рис. 1</w:t>
      </w:r>
      <w:r w:rsidR="00CD4B05" w:rsidRPr="00CD4B05">
        <w:rPr>
          <w:color w:val="000000"/>
        </w:rPr>
        <w:t>)</w:t>
      </w:r>
      <w:r w:rsidRPr="00C249A4">
        <w:rPr>
          <w:color w:val="000000"/>
        </w:rPr>
        <w:t>.</w:t>
      </w:r>
    </w:p>
    <w:p w:rsidR="000621E4" w:rsidRPr="008A40FD" w:rsidRDefault="00A619A9" w:rsidP="00417F9D">
      <w:pPr>
        <w:shd w:val="clear" w:color="auto" w:fill="FFFFFF"/>
        <w:spacing w:before="100" w:beforeAutospacing="1" w:after="100" w:afterAutospacing="1"/>
        <w:ind w:firstLine="397"/>
        <w:jc w:val="both"/>
        <w:rPr>
          <w:color w:val="000000"/>
        </w:rPr>
      </w:pPr>
      <w:r w:rsidRPr="00A619A9">
        <w:rPr>
          <w:noProof/>
          <w:color w:val="000000"/>
        </w:rPr>
        <w:drawing>
          <wp:inline distT="0" distB="0" distL="0" distR="0">
            <wp:extent cx="5334000" cy="162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A65" w:rsidRDefault="007A4801" w:rsidP="000621E4">
      <w:pPr>
        <w:shd w:val="clear" w:color="auto" w:fill="FFFFFF"/>
        <w:spacing w:after="100" w:afterAutospacing="1"/>
        <w:jc w:val="center"/>
        <w:rPr>
          <w:i/>
          <w:iCs/>
        </w:rPr>
      </w:pPr>
      <w:r>
        <w:rPr>
          <w:color w:val="000000"/>
        </w:rPr>
        <w:t>Рис. 1</w:t>
      </w:r>
      <w:r w:rsidRPr="00D42542">
        <w:rPr>
          <w:color w:val="000000"/>
        </w:rPr>
        <w:t xml:space="preserve">. </w:t>
      </w:r>
      <w:r w:rsidR="00C844C5">
        <w:rPr>
          <w:color w:val="000000"/>
          <w:shd w:val="clear" w:color="auto" w:fill="FFFFFF"/>
        </w:rPr>
        <w:t xml:space="preserve">Синтез </w:t>
      </w:r>
      <w:proofErr w:type="spellStart"/>
      <w:r w:rsidR="00C844C5">
        <w:rPr>
          <w:color w:val="000000"/>
          <w:shd w:val="clear" w:color="auto" w:fill="FFFFFF"/>
        </w:rPr>
        <w:t>фосфорилзамещенных</w:t>
      </w:r>
      <w:proofErr w:type="spellEnd"/>
      <w:r w:rsidR="00C844C5">
        <w:rPr>
          <w:color w:val="000000"/>
          <w:shd w:val="clear" w:color="auto" w:fill="FFFFFF"/>
        </w:rPr>
        <w:t xml:space="preserve"> </w:t>
      </w:r>
      <w:proofErr w:type="spellStart"/>
      <w:r w:rsidR="00C844C5">
        <w:rPr>
          <w:color w:val="000000"/>
          <w:shd w:val="clear" w:color="auto" w:fill="FFFFFF"/>
        </w:rPr>
        <w:t>спироиндолинонов</w:t>
      </w:r>
      <w:proofErr w:type="spellEnd"/>
      <w:r w:rsidR="00CD4B05" w:rsidRPr="00CD4B05">
        <w:rPr>
          <w:i/>
          <w:iCs/>
        </w:rPr>
        <w:t>.</w:t>
      </w:r>
    </w:p>
    <w:p w:rsidR="00EF57C8" w:rsidRPr="00EF57C8" w:rsidRDefault="00EF57C8" w:rsidP="002274C5">
      <w:pPr>
        <w:shd w:val="clear" w:color="auto" w:fill="FFFFFF"/>
        <w:spacing w:after="100" w:afterAutospacing="1"/>
        <w:ind w:firstLine="397"/>
        <w:jc w:val="both"/>
        <w:rPr>
          <w:color w:val="000000"/>
          <w:shd w:val="clear" w:color="auto" w:fill="FFFFFF"/>
        </w:rPr>
      </w:pPr>
      <w:r>
        <w:t xml:space="preserve">Также показана возможность перехвата промежуточно образующегося </w:t>
      </w:r>
      <w:r w:rsidR="00417F9D">
        <w:t xml:space="preserve">в реакции </w:t>
      </w:r>
      <w:proofErr w:type="spellStart"/>
      <w:r>
        <w:t>винильного</w:t>
      </w:r>
      <w:proofErr w:type="spellEnd"/>
      <w:r>
        <w:t xml:space="preserve"> </w:t>
      </w:r>
      <w:proofErr w:type="spellStart"/>
      <w:r>
        <w:t>карбаниона</w:t>
      </w:r>
      <w:proofErr w:type="spellEnd"/>
      <w:r>
        <w:t xml:space="preserve"> диоксидом углерода с получением </w:t>
      </w:r>
      <w:proofErr w:type="spellStart"/>
      <w:r>
        <w:t>спироиндолинонов</w:t>
      </w:r>
      <w:proofErr w:type="spellEnd"/>
      <w:r>
        <w:t xml:space="preserve">, </w:t>
      </w:r>
      <w:proofErr w:type="gramStart"/>
      <w:r>
        <w:t>содержащих</w:t>
      </w:r>
      <w:proofErr w:type="gramEnd"/>
      <w:r>
        <w:t xml:space="preserve"> фрагмент </w:t>
      </w:r>
      <w:proofErr w:type="spellStart"/>
      <w:r>
        <w:t>фосфоноацетата</w:t>
      </w:r>
      <w:proofErr w:type="spellEnd"/>
      <w:r>
        <w:t>. Оценена противоопухолевая активность полученны</w:t>
      </w:r>
      <w:r w:rsidR="000621E4">
        <w:t>х</w:t>
      </w:r>
      <w:r>
        <w:t xml:space="preserve"> соединений.</w:t>
      </w:r>
    </w:p>
    <w:p w:rsidR="008E5E07" w:rsidRPr="008E5E07" w:rsidRDefault="008E5E07" w:rsidP="000621E4">
      <w:pPr>
        <w:shd w:val="clear" w:color="auto" w:fill="FFFFFF"/>
        <w:spacing w:after="100" w:afterAutospacing="1"/>
        <w:ind w:firstLine="397"/>
        <w:jc w:val="center"/>
        <w:rPr>
          <w:i/>
          <w:iCs/>
        </w:rPr>
      </w:pPr>
      <w:r w:rsidRPr="008E5E07">
        <w:rPr>
          <w:i/>
          <w:iCs/>
        </w:rPr>
        <w:t>Работа выполнена при финансовой поддержке Министерства науки и высшего образования Российской Федерации (соглашение № 075-15-2024-547 от 24.04.2024).</w:t>
      </w:r>
    </w:p>
    <w:p w:rsidR="00130241" w:rsidRPr="008E5E07" w:rsidRDefault="00EB1F49" w:rsidP="008E5E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8E5E07" w:rsidRPr="00E84A74" w:rsidRDefault="008E5E07" w:rsidP="002274C5">
      <w:pPr>
        <w:widowControl w:val="0"/>
        <w:autoSpaceDE w:val="0"/>
        <w:autoSpaceDN w:val="0"/>
        <w:adjustRightInd w:val="0"/>
        <w:contextualSpacing/>
        <w:jc w:val="both"/>
        <w:rPr>
          <w:lang w:val="en-US"/>
        </w:rPr>
      </w:pPr>
      <w:r w:rsidRPr="00AE2FCC">
        <w:rPr>
          <w:lang w:val="en-US"/>
        </w:rPr>
        <w:t xml:space="preserve">1. </w:t>
      </w:r>
      <w:r w:rsidR="00E84A74" w:rsidRPr="00E84A74">
        <w:rPr>
          <w:lang w:val="en-US"/>
        </w:rPr>
        <w:t>K.L.</w:t>
      </w:r>
      <w:r w:rsidR="00E84A74">
        <w:rPr>
          <w:lang w:val="en-US"/>
        </w:rPr>
        <w:t xml:space="preserve"> </w:t>
      </w:r>
      <w:r w:rsidR="00E84A74" w:rsidRPr="00E84A74">
        <w:rPr>
          <w:lang w:val="en-US"/>
        </w:rPr>
        <w:t>Vine, L.</w:t>
      </w:r>
      <w:r w:rsidR="00E84A74">
        <w:rPr>
          <w:lang w:val="en-US"/>
        </w:rPr>
        <w:t xml:space="preserve"> </w:t>
      </w:r>
      <w:proofErr w:type="spellStart"/>
      <w:r w:rsidR="00E84A74" w:rsidRPr="00E84A74">
        <w:rPr>
          <w:lang w:val="en-US"/>
        </w:rPr>
        <w:t>Matesic</w:t>
      </w:r>
      <w:proofErr w:type="spellEnd"/>
      <w:r w:rsidR="00E84A74" w:rsidRPr="00E84A74">
        <w:rPr>
          <w:lang w:val="en-US"/>
        </w:rPr>
        <w:t>, J.M.</w:t>
      </w:r>
      <w:r w:rsidR="00E84A74">
        <w:rPr>
          <w:lang w:val="en-US"/>
        </w:rPr>
        <w:t xml:space="preserve"> </w:t>
      </w:r>
      <w:r w:rsidR="00E84A74" w:rsidRPr="00E84A74">
        <w:rPr>
          <w:lang w:val="en-US"/>
        </w:rPr>
        <w:t>Locke, D.</w:t>
      </w:r>
      <w:r w:rsidR="00E84A74">
        <w:rPr>
          <w:lang w:val="en-US"/>
        </w:rPr>
        <w:t xml:space="preserve"> </w:t>
      </w:r>
      <w:proofErr w:type="spellStart"/>
      <w:r w:rsidR="00E84A74" w:rsidRPr="00E84A74">
        <w:rPr>
          <w:lang w:val="en-US"/>
        </w:rPr>
        <w:t>Skropeta</w:t>
      </w:r>
      <w:proofErr w:type="spellEnd"/>
      <w:r w:rsidR="00A619A9">
        <w:rPr>
          <w:lang w:val="en-US"/>
        </w:rPr>
        <w:t>.</w:t>
      </w:r>
      <w:r w:rsidR="00E84A74" w:rsidRPr="00E84A74">
        <w:rPr>
          <w:lang w:val="en-US"/>
        </w:rPr>
        <w:t xml:space="preserve"> Recent highlights in the development of </w:t>
      </w:r>
      <w:proofErr w:type="spellStart"/>
      <w:r w:rsidR="00E84A74" w:rsidRPr="00E84A74">
        <w:rPr>
          <w:lang w:val="en-US"/>
        </w:rPr>
        <w:t>isatin</w:t>
      </w:r>
      <w:proofErr w:type="spellEnd"/>
      <w:r w:rsidR="00E84A74" w:rsidRPr="00E84A74">
        <w:rPr>
          <w:lang w:val="en-US"/>
        </w:rPr>
        <w:t xml:space="preserve">-based anticancer agents // Adv. Anticancer Agents Med. Chem. 2013. </w:t>
      </w:r>
      <w:proofErr w:type="gramStart"/>
      <w:r w:rsidR="00E84A74">
        <w:rPr>
          <w:lang w:val="en-US"/>
        </w:rPr>
        <w:t>Vol.</w:t>
      </w:r>
      <w:r w:rsidR="00E84A74" w:rsidRPr="00E84A74">
        <w:rPr>
          <w:lang w:val="en-US"/>
        </w:rPr>
        <w:t xml:space="preserve"> 2</w:t>
      </w:r>
      <w:r w:rsidR="00E84A74">
        <w:rPr>
          <w:lang w:val="en-US"/>
        </w:rPr>
        <w:t>.</w:t>
      </w:r>
      <w:proofErr w:type="gramEnd"/>
      <w:r w:rsidR="00E84A74">
        <w:rPr>
          <w:lang w:val="en-US"/>
        </w:rPr>
        <w:t xml:space="preserve"> P.</w:t>
      </w:r>
      <w:r w:rsidR="00E84A74" w:rsidRPr="00E84A74">
        <w:rPr>
          <w:lang w:val="en-US"/>
        </w:rPr>
        <w:t xml:space="preserve"> 254</w:t>
      </w:r>
      <w:r w:rsidR="00E84A74">
        <w:rPr>
          <w:lang w:val="en-US"/>
        </w:rPr>
        <w:t>-</w:t>
      </w:r>
      <w:r w:rsidR="00E84A74" w:rsidRPr="00E84A74">
        <w:rPr>
          <w:lang w:val="en-US"/>
        </w:rPr>
        <w:t>312.</w:t>
      </w:r>
    </w:p>
    <w:p w:rsidR="001200A9" w:rsidRPr="00CA256F" w:rsidRDefault="008E5E07" w:rsidP="002274C5">
      <w:pPr>
        <w:widowControl w:val="0"/>
        <w:autoSpaceDE w:val="0"/>
        <w:autoSpaceDN w:val="0"/>
        <w:adjustRightInd w:val="0"/>
        <w:contextualSpacing/>
        <w:jc w:val="both"/>
        <w:rPr>
          <w:noProof/>
          <w:lang w:val="en-US"/>
        </w:rPr>
      </w:pPr>
      <w:r w:rsidRPr="00F756D8">
        <w:rPr>
          <w:noProof/>
          <w:lang w:val="en-US"/>
        </w:rPr>
        <w:t xml:space="preserve">2. </w:t>
      </w:r>
      <w:r w:rsidR="00E84A74" w:rsidRPr="00E84A74">
        <w:rPr>
          <w:noProof/>
          <w:lang w:val="en-US"/>
        </w:rPr>
        <w:t>V. Iaroshenko</w:t>
      </w:r>
      <w:r w:rsidR="00E84A74">
        <w:rPr>
          <w:noProof/>
          <w:lang w:val="en-US"/>
        </w:rPr>
        <w:t>.</w:t>
      </w:r>
      <w:r w:rsidR="00E84A74" w:rsidRPr="00E84A74">
        <w:rPr>
          <w:noProof/>
          <w:lang w:val="en-US"/>
        </w:rPr>
        <w:t xml:space="preserve"> Organophosphorus Chemistry: From Molecules to Applications; Wiley, 2019.</w:t>
      </w:r>
    </w:p>
    <w:p w:rsidR="00C126AA" w:rsidRPr="00C126AA" w:rsidRDefault="00C126AA" w:rsidP="002274C5">
      <w:pPr>
        <w:widowControl w:val="0"/>
        <w:autoSpaceDE w:val="0"/>
        <w:autoSpaceDN w:val="0"/>
        <w:adjustRightInd w:val="0"/>
        <w:contextualSpacing/>
        <w:jc w:val="both"/>
        <w:rPr>
          <w:noProof/>
          <w:lang w:val="en-US"/>
        </w:rPr>
      </w:pPr>
      <w:r>
        <w:rPr>
          <w:noProof/>
          <w:lang w:val="en-US"/>
        </w:rPr>
        <w:t xml:space="preserve">3. </w:t>
      </w:r>
      <w:r w:rsidR="00A74CAC" w:rsidRPr="00A74CAC">
        <w:rPr>
          <w:noProof/>
          <w:lang w:val="en-US"/>
        </w:rPr>
        <w:t>A.V.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Murashkina,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A.V.</w:t>
      </w:r>
      <w:r w:rsidR="00A74CAC">
        <w:rPr>
          <w:noProof/>
          <w:lang w:val="en-US"/>
        </w:rPr>
        <w:t xml:space="preserve">, </w:t>
      </w:r>
      <w:r w:rsidR="00A74CAC" w:rsidRPr="00A74CAC">
        <w:rPr>
          <w:noProof/>
          <w:lang w:val="en-US"/>
        </w:rPr>
        <w:t>Bogdanov, A.D.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Voloshina,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A.P.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Lyubina, A.V.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Samorodov,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A.Y.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Mitrofanov, I.P.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Beletskaya,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E.A.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Smolyarchuk, K.A.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Zavadich,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Z.A.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Valiullina, K.A.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Nazmieva, V.I.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Korunas, I.D.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Krylova</w:t>
      </w:r>
      <w:r w:rsidR="00A74CAC">
        <w:rPr>
          <w:noProof/>
          <w:lang w:val="en-US"/>
        </w:rPr>
        <w:t xml:space="preserve">. </w:t>
      </w:r>
      <w:r w:rsidR="00A74CAC" w:rsidRPr="00A74CAC">
        <w:rPr>
          <w:noProof/>
          <w:lang w:val="en-US"/>
        </w:rPr>
        <w:t>Base-Catalyzed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Reaction of Isatins and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(3-Hydroxyprop-1-yn-1-yl)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phosphonates as a Tool for the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Synthesis of Spiro-1,3-dioxolane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Oxindoles with Anticancer and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Anti-Platelet Properties</w:t>
      </w:r>
      <w:r w:rsidR="00A74CAC">
        <w:rPr>
          <w:noProof/>
          <w:lang w:val="en-US"/>
        </w:rPr>
        <w:t xml:space="preserve"> // </w:t>
      </w:r>
      <w:r w:rsidR="00A74CAC" w:rsidRPr="00A74CAC">
        <w:rPr>
          <w:noProof/>
          <w:lang w:val="en-US"/>
        </w:rPr>
        <w:t>Molecules</w:t>
      </w:r>
      <w:r w:rsidR="00A74CAC">
        <w:rPr>
          <w:noProof/>
          <w:lang w:val="en-US"/>
        </w:rPr>
        <w:t xml:space="preserve"> </w:t>
      </w:r>
      <w:r w:rsidR="00A74CAC" w:rsidRPr="00A74CAC">
        <w:rPr>
          <w:noProof/>
          <w:lang w:val="en-US"/>
        </w:rPr>
        <w:t>2024</w:t>
      </w:r>
      <w:r w:rsidR="00A619A9">
        <w:rPr>
          <w:noProof/>
          <w:lang w:val="en-US"/>
        </w:rPr>
        <w:t>.</w:t>
      </w:r>
      <w:r w:rsidR="00A74CAC" w:rsidRPr="00A74CAC">
        <w:rPr>
          <w:noProof/>
          <w:lang w:val="en-US"/>
        </w:rPr>
        <w:t xml:space="preserve"> </w:t>
      </w:r>
      <w:r w:rsidR="00A74CAC">
        <w:rPr>
          <w:noProof/>
          <w:lang w:val="en-US"/>
        </w:rPr>
        <w:t xml:space="preserve">Vol. </w:t>
      </w:r>
      <w:r w:rsidR="00A74CAC" w:rsidRPr="00A74CAC">
        <w:rPr>
          <w:noProof/>
          <w:lang w:val="en-US"/>
        </w:rPr>
        <w:t>29, 4764.</w:t>
      </w:r>
    </w:p>
    <w:sectPr w:rsidR="00C126AA" w:rsidRPr="00C126AA" w:rsidSect="001200A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130241"/>
    <w:rsid w:val="00037376"/>
    <w:rsid w:val="00053289"/>
    <w:rsid w:val="000621E4"/>
    <w:rsid w:val="00063966"/>
    <w:rsid w:val="00075D6E"/>
    <w:rsid w:val="00086081"/>
    <w:rsid w:val="0009449A"/>
    <w:rsid w:val="00094FD0"/>
    <w:rsid w:val="000D4D7C"/>
    <w:rsid w:val="000E334E"/>
    <w:rsid w:val="000F2979"/>
    <w:rsid w:val="00101A1C"/>
    <w:rsid w:val="00103657"/>
    <w:rsid w:val="00106375"/>
    <w:rsid w:val="00107AA3"/>
    <w:rsid w:val="00116478"/>
    <w:rsid w:val="001200A9"/>
    <w:rsid w:val="00130241"/>
    <w:rsid w:val="001401D4"/>
    <w:rsid w:val="00147A2A"/>
    <w:rsid w:val="00150F6C"/>
    <w:rsid w:val="001E61C2"/>
    <w:rsid w:val="001F0493"/>
    <w:rsid w:val="0022260A"/>
    <w:rsid w:val="002264EE"/>
    <w:rsid w:val="002274C5"/>
    <w:rsid w:val="0023307C"/>
    <w:rsid w:val="00243AC0"/>
    <w:rsid w:val="00290BD4"/>
    <w:rsid w:val="0031361E"/>
    <w:rsid w:val="00327E70"/>
    <w:rsid w:val="00352A8B"/>
    <w:rsid w:val="00391C38"/>
    <w:rsid w:val="003B76D6"/>
    <w:rsid w:val="003E2601"/>
    <w:rsid w:val="003F4565"/>
    <w:rsid w:val="003F4E6B"/>
    <w:rsid w:val="003F51CF"/>
    <w:rsid w:val="00406D86"/>
    <w:rsid w:val="00417F9D"/>
    <w:rsid w:val="004322C9"/>
    <w:rsid w:val="004A26A3"/>
    <w:rsid w:val="004C6569"/>
    <w:rsid w:val="004F0EDF"/>
    <w:rsid w:val="00522BF1"/>
    <w:rsid w:val="00590166"/>
    <w:rsid w:val="005D022B"/>
    <w:rsid w:val="005E5BE9"/>
    <w:rsid w:val="0069427D"/>
    <w:rsid w:val="006A18B3"/>
    <w:rsid w:val="006F7A19"/>
    <w:rsid w:val="007213E1"/>
    <w:rsid w:val="00775389"/>
    <w:rsid w:val="00797838"/>
    <w:rsid w:val="007A0E41"/>
    <w:rsid w:val="007A4801"/>
    <w:rsid w:val="007B79CB"/>
    <w:rsid w:val="007C36D8"/>
    <w:rsid w:val="007F2744"/>
    <w:rsid w:val="008028EB"/>
    <w:rsid w:val="008455BD"/>
    <w:rsid w:val="008931BE"/>
    <w:rsid w:val="008A40FD"/>
    <w:rsid w:val="008C67E3"/>
    <w:rsid w:val="008E5E07"/>
    <w:rsid w:val="00914205"/>
    <w:rsid w:val="00921D45"/>
    <w:rsid w:val="009426C0"/>
    <w:rsid w:val="00980A65"/>
    <w:rsid w:val="009A3FFE"/>
    <w:rsid w:val="009A66DB"/>
    <w:rsid w:val="009B2F80"/>
    <w:rsid w:val="009B3300"/>
    <w:rsid w:val="009B3ADB"/>
    <w:rsid w:val="009F3380"/>
    <w:rsid w:val="00A02163"/>
    <w:rsid w:val="00A314FE"/>
    <w:rsid w:val="00A619A9"/>
    <w:rsid w:val="00A74CAC"/>
    <w:rsid w:val="00AA1566"/>
    <w:rsid w:val="00AD7380"/>
    <w:rsid w:val="00B1689C"/>
    <w:rsid w:val="00B57D55"/>
    <w:rsid w:val="00B82AB6"/>
    <w:rsid w:val="00B922E3"/>
    <w:rsid w:val="00BF36F8"/>
    <w:rsid w:val="00BF4622"/>
    <w:rsid w:val="00C126AA"/>
    <w:rsid w:val="00C249A4"/>
    <w:rsid w:val="00C82FBF"/>
    <w:rsid w:val="00C844C5"/>
    <w:rsid w:val="00C844E2"/>
    <w:rsid w:val="00CA256F"/>
    <w:rsid w:val="00CD00B1"/>
    <w:rsid w:val="00CD4B05"/>
    <w:rsid w:val="00D22306"/>
    <w:rsid w:val="00D42542"/>
    <w:rsid w:val="00D8121C"/>
    <w:rsid w:val="00DE0094"/>
    <w:rsid w:val="00E01A65"/>
    <w:rsid w:val="00E22189"/>
    <w:rsid w:val="00E74069"/>
    <w:rsid w:val="00E77C19"/>
    <w:rsid w:val="00E81D35"/>
    <w:rsid w:val="00E84A74"/>
    <w:rsid w:val="00EB1F49"/>
    <w:rsid w:val="00EF57C8"/>
    <w:rsid w:val="00F36BEB"/>
    <w:rsid w:val="00F865B3"/>
    <w:rsid w:val="00FA471A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C65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C65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C65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C656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C65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C65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C65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C65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C65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74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74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99E295-F45F-413D-BFEF-7ED3C521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Dubinina</cp:lastModifiedBy>
  <cp:revision>4</cp:revision>
  <dcterms:created xsi:type="dcterms:W3CDTF">2025-03-03T11:42:00Z</dcterms:created>
  <dcterms:modified xsi:type="dcterms:W3CDTF">2025-03-17T02:46:00Z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