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B9" w:rsidRPr="002E66F2" w:rsidRDefault="002F201C" w:rsidP="002E66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6F2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 для составления библиотек фрагментов с использованием </w:t>
      </w:r>
      <w:proofErr w:type="spellStart"/>
      <w:r w:rsidRPr="002E66F2">
        <w:rPr>
          <w:rFonts w:ascii="Times New Roman" w:eastAsia="Times New Roman" w:hAnsi="Times New Roman" w:cs="Times New Roman"/>
          <w:b/>
          <w:sz w:val="24"/>
          <w:szCs w:val="24"/>
        </w:rPr>
        <w:t>докинга</w:t>
      </w:r>
      <w:proofErr w:type="spellEnd"/>
      <w:r w:rsidRPr="002E66F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bookmarkStart w:id="0" w:name="_GoBack"/>
      <w:bookmarkEnd w:id="0"/>
      <w:r w:rsidRPr="002E66F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малых </w:t>
      </w:r>
      <w:r w:rsidRPr="002E66F2">
        <w:rPr>
          <w:rFonts w:ascii="Times New Roman" w:eastAsia="Times New Roman" w:hAnsi="Times New Roman" w:cs="Times New Roman"/>
          <w:b/>
          <w:sz w:val="24"/>
          <w:szCs w:val="24"/>
        </w:rPr>
        <w:t xml:space="preserve">молекул среднего размера </w:t>
      </w:r>
    </w:p>
    <w:p w:rsidR="002E40B9" w:rsidRPr="002E66F2" w:rsidRDefault="002F201C" w:rsidP="002E66F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2E66F2">
        <w:rPr>
          <w:rFonts w:ascii="Times New Roman" w:eastAsia="Times New Roman" w:hAnsi="Times New Roman" w:cs="Times New Roman"/>
          <w:b/>
          <w:i/>
          <w:sz w:val="24"/>
          <w:szCs w:val="24"/>
        </w:rPr>
        <w:t>Мязин</w:t>
      </w:r>
      <w:proofErr w:type="spellEnd"/>
      <w:r w:rsidRPr="002E66F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В.Д., Шульга Д.А., Иванов Н.Н., </w:t>
      </w:r>
      <w:proofErr w:type="spellStart"/>
      <w:r w:rsidRPr="002E66F2">
        <w:rPr>
          <w:rFonts w:ascii="Times New Roman" w:eastAsia="Times New Roman" w:hAnsi="Times New Roman" w:cs="Times New Roman"/>
          <w:b/>
          <w:i/>
          <w:sz w:val="24"/>
          <w:szCs w:val="24"/>
        </w:rPr>
        <w:t>Палюлин</w:t>
      </w:r>
      <w:proofErr w:type="spellEnd"/>
      <w:r w:rsidRPr="002E66F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В.А. </w:t>
      </w:r>
    </w:p>
    <w:p w:rsidR="002E40B9" w:rsidRPr="002E66F2" w:rsidRDefault="002F201C" w:rsidP="002E66F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66F2">
        <w:rPr>
          <w:rFonts w:ascii="Times New Roman" w:eastAsia="Times New Roman" w:hAnsi="Times New Roman" w:cs="Times New Roman"/>
          <w:i/>
          <w:sz w:val="24"/>
          <w:szCs w:val="24"/>
        </w:rPr>
        <w:t xml:space="preserve">Аспирант, 2 г/о </w:t>
      </w:r>
    </w:p>
    <w:p w:rsidR="002E40B9" w:rsidRPr="002E66F2" w:rsidRDefault="002F201C" w:rsidP="002E66F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66F2">
        <w:rPr>
          <w:rFonts w:ascii="Times New Roman" w:eastAsia="Times New Roman" w:hAnsi="Times New Roman" w:cs="Times New Roman"/>
          <w:i/>
          <w:sz w:val="24"/>
          <w:szCs w:val="24"/>
        </w:rPr>
        <w:t xml:space="preserve">Московский государственный университет имени М.В. Ломоносова, химический факультет, Москва, Россия </w:t>
      </w:r>
    </w:p>
    <w:p w:rsidR="002E40B9" w:rsidRPr="002E66F2" w:rsidRDefault="002F201C" w:rsidP="002E66F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2E66F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E–mail: </w:t>
      </w:r>
      <w:r w:rsidRPr="002E66F2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vasily.miazin@qsar.chem.msu.ru</w:t>
      </w:r>
      <w:r w:rsidRPr="002E66F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2E40B9" w:rsidRPr="00111BDE" w:rsidRDefault="002F201C" w:rsidP="002E66F2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66F2">
        <w:rPr>
          <w:rFonts w:ascii="Times New Roman" w:eastAsia="Times New Roman" w:hAnsi="Times New Roman" w:cs="Times New Roman"/>
          <w:sz w:val="24"/>
          <w:szCs w:val="24"/>
        </w:rPr>
        <w:t xml:space="preserve">Фрагментный подход показал высокую эффективность для создания лекарственных молекул [1]. Он заключается в скрининге </w:t>
      </w:r>
      <w:proofErr w:type="spellStart"/>
      <w:r w:rsidRPr="002E66F2">
        <w:rPr>
          <w:rFonts w:ascii="Times New Roman" w:eastAsia="Times New Roman" w:hAnsi="Times New Roman" w:cs="Times New Roman"/>
          <w:sz w:val="24"/>
          <w:szCs w:val="24"/>
        </w:rPr>
        <w:t>фрагменто-подобных</w:t>
      </w:r>
      <w:proofErr w:type="spellEnd"/>
      <w:r w:rsidRPr="002E66F2">
        <w:rPr>
          <w:rFonts w:ascii="Times New Roman" w:eastAsia="Times New Roman" w:hAnsi="Times New Roman" w:cs="Times New Roman"/>
          <w:sz w:val="24"/>
          <w:szCs w:val="24"/>
        </w:rPr>
        <w:t xml:space="preserve"> молекул (преимущественно ММ до 300</w:t>
      </w:r>
      <w:proofErr w:type="gramStart"/>
      <w:r w:rsidRPr="002E66F2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2E66F2">
        <w:rPr>
          <w:rFonts w:ascii="Times New Roman" w:eastAsia="Times New Roman" w:hAnsi="Times New Roman" w:cs="Times New Roman"/>
          <w:sz w:val="24"/>
          <w:szCs w:val="24"/>
        </w:rPr>
        <w:t xml:space="preserve">а[2]) на этапе поиска хитов и дальнейшем объединении высокоактивных фрагментов с образованием высокоактивного соединения лидера[1]. Эффективность подхода связана с уменьшением химического пространства молекул, а также с возможностью эффективно позиционировать части молекулы внутри мишени. Однако существенным недостатком данного подхода является </w:t>
      </w:r>
      <w:r w:rsidR="00111BDE" w:rsidRPr="002E66F2">
        <w:rPr>
          <w:rFonts w:ascii="Times New Roman" w:eastAsia="Times New Roman" w:hAnsi="Times New Roman" w:cs="Times New Roman"/>
          <w:sz w:val="24"/>
          <w:szCs w:val="24"/>
        </w:rPr>
        <w:t>то,</w:t>
      </w:r>
      <w:r w:rsidRPr="002E66F2">
        <w:rPr>
          <w:rFonts w:ascii="Times New Roman" w:eastAsia="Times New Roman" w:hAnsi="Times New Roman" w:cs="Times New Roman"/>
          <w:sz w:val="24"/>
          <w:szCs w:val="24"/>
        </w:rPr>
        <w:t xml:space="preserve"> что он остается преиму</w:t>
      </w:r>
      <w:r w:rsidR="00111BDE">
        <w:rPr>
          <w:rFonts w:ascii="Times New Roman" w:eastAsia="Times New Roman" w:hAnsi="Times New Roman" w:cs="Times New Roman"/>
          <w:sz w:val="24"/>
          <w:szCs w:val="24"/>
        </w:rPr>
        <w:t>щественно экспериментальным.</w:t>
      </w:r>
    </w:p>
    <w:p w:rsidR="002E40B9" w:rsidRPr="002E66F2" w:rsidRDefault="002F201C" w:rsidP="002E66F2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6F2">
        <w:rPr>
          <w:rFonts w:ascii="Times New Roman" w:eastAsia="Times New Roman" w:hAnsi="Times New Roman" w:cs="Times New Roman"/>
          <w:sz w:val="24"/>
          <w:szCs w:val="24"/>
        </w:rPr>
        <w:t xml:space="preserve">В качестве виртуальной альтернативы фрагментному подходу был разработан обратный фрагментный подход (R-FBDD). Его суть заключается в оценке вкладов фрагментов методом долей [4], исходя из позиции связывания всего </w:t>
      </w:r>
      <w:proofErr w:type="spellStart"/>
      <w:r w:rsidRPr="002E66F2">
        <w:rPr>
          <w:rFonts w:ascii="Times New Roman" w:eastAsia="Times New Roman" w:hAnsi="Times New Roman" w:cs="Times New Roman"/>
          <w:sz w:val="24"/>
          <w:szCs w:val="24"/>
        </w:rPr>
        <w:t>лиганда</w:t>
      </w:r>
      <w:proofErr w:type="spellEnd"/>
      <w:r w:rsidRPr="002E66F2">
        <w:rPr>
          <w:rFonts w:ascii="Times New Roman" w:eastAsia="Times New Roman" w:hAnsi="Times New Roman" w:cs="Times New Roman"/>
          <w:sz w:val="24"/>
          <w:szCs w:val="24"/>
        </w:rPr>
        <w:t xml:space="preserve">. Была показана возможность эффективного применения обратного фрагментного подхода для оптимизации соединений лидеров [5]. Однако все еще не хватает исследований о возможности применения обратного фрагментного подхода для этапа поиска хитов. </w:t>
      </w:r>
    </w:p>
    <w:p w:rsidR="002E40B9" w:rsidRPr="002E66F2" w:rsidRDefault="002F201C" w:rsidP="002E66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6F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114300" distB="114300" distL="114300" distR="114300">
            <wp:extent cx="5783149" cy="164605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3149" cy="16460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E40B9" w:rsidRPr="002E66F2" w:rsidRDefault="002F201C" w:rsidP="002E66F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66F2">
        <w:rPr>
          <w:rFonts w:ascii="Times New Roman" w:eastAsia="Times New Roman" w:hAnsi="Times New Roman" w:cs="Times New Roman"/>
          <w:sz w:val="24"/>
          <w:szCs w:val="24"/>
        </w:rPr>
        <w:t>Рис</w:t>
      </w:r>
      <w:r w:rsidR="002E66F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2E66F2">
        <w:rPr>
          <w:rFonts w:ascii="Times New Roman" w:eastAsia="Times New Roman" w:hAnsi="Times New Roman" w:cs="Times New Roman"/>
          <w:sz w:val="24"/>
          <w:szCs w:val="24"/>
        </w:rPr>
        <w:t xml:space="preserve"> 1. Схема построения библиотеки фрагментов</w:t>
      </w:r>
      <w:r w:rsidR="002E66F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E40B9" w:rsidRPr="002E66F2" w:rsidRDefault="002F201C" w:rsidP="002E66F2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6F2">
        <w:rPr>
          <w:rFonts w:ascii="Times New Roman" w:eastAsia="Times New Roman" w:hAnsi="Times New Roman" w:cs="Times New Roman"/>
          <w:sz w:val="24"/>
          <w:szCs w:val="24"/>
        </w:rPr>
        <w:t xml:space="preserve">В данном исследовании проводится оценка возможности использовании обратного подхода для составления фокусированных библиотек фрагментов. Предлагается использовать </w:t>
      </w:r>
      <w:proofErr w:type="spellStart"/>
      <w:r w:rsidRPr="002E66F2">
        <w:rPr>
          <w:rFonts w:ascii="Times New Roman" w:eastAsia="Times New Roman" w:hAnsi="Times New Roman" w:cs="Times New Roman"/>
          <w:sz w:val="24"/>
          <w:szCs w:val="24"/>
        </w:rPr>
        <w:t>докинг</w:t>
      </w:r>
      <w:proofErr w:type="spellEnd"/>
      <w:r w:rsidRPr="002E66F2">
        <w:rPr>
          <w:rFonts w:ascii="Times New Roman" w:eastAsia="Times New Roman" w:hAnsi="Times New Roman" w:cs="Times New Roman"/>
          <w:sz w:val="24"/>
          <w:szCs w:val="24"/>
        </w:rPr>
        <w:t xml:space="preserve"> малых молекул средней молекулярной массы, для нивелирования ошибок оценочных функций с последующим разрезанием данных молекул на фрагменты, значимые для медицинской химии, т.е. с сохранением важных функциональных групп [5]. И последующей оценкой вкладов фрагментов для отбора фрагментов и </w:t>
      </w:r>
      <w:proofErr w:type="gramStart"/>
      <w:r w:rsidRPr="002E66F2">
        <w:rPr>
          <w:rFonts w:ascii="Times New Roman" w:eastAsia="Times New Roman" w:hAnsi="Times New Roman" w:cs="Times New Roman"/>
          <w:sz w:val="24"/>
          <w:szCs w:val="24"/>
        </w:rPr>
        <w:t>составлении</w:t>
      </w:r>
      <w:proofErr w:type="gramEnd"/>
      <w:r w:rsidRPr="002E66F2">
        <w:rPr>
          <w:rFonts w:ascii="Times New Roman" w:eastAsia="Times New Roman" w:hAnsi="Times New Roman" w:cs="Times New Roman"/>
          <w:sz w:val="24"/>
          <w:szCs w:val="24"/>
        </w:rPr>
        <w:t xml:space="preserve"> из них библиотеки фрагментов. Результатом данной работы является демонстрация возможности и перспективности данного подхода.</w:t>
      </w:r>
    </w:p>
    <w:p w:rsidR="002E40B9" w:rsidRPr="002E66F2" w:rsidRDefault="002E66F2" w:rsidP="002E66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E66F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Литература</w:t>
      </w:r>
    </w:p>
    <w:p w:rsidR="002E40B9" w:rsidRPr="002E66F2" w:rsidRDefault="002F201C" w:rsidP="002E66F2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Erlanson</w:t>
      </w:r>
      <w:proofErr w:type="spellEnd"/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 D. A., McDowell R. S., O'Brien T. J. Med. Chem. – 2004. – </w:t>
      </w:r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Т</w:t>
      </w:r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. 47. – №. 14. – </w:t>
      </w:r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С</w:t>
      </w:r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. 3463-3482. </w:t>
      </w:r>
      <w:hyperlink r:id="rId6">
        <w:r w:rsidRPr="002E66F2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lang w:val="en-US"/>
          </w:rPr>
          <w:t>doi.org/10.1021/jm040031v</w:t>
        </w:r>
      </w:hyperlink>
    </w:p>
    <w:p w:rsidR="002E40B9" w:rsidRPr="002E66F2" w:rsidRDefault="002F201C" w:rsidP="002E66F2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Jhoti</w:t>
      </w:r>
      <w:proofErr w:type="spellEnd"/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 H. et al. //Nature reviews Drug discovery. – 2013. – </w:t>
      </w:r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Т</w:t>
      </w:r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. 12. – №. </w:t>
      </w:r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8. – С. 644-644. doi.org/10.1038/nrd4163</w:t>
      </w:r>
    </w:p>
    <w:p w:rsidR="002E40B9" w:rsidRPr="002E66F2" w:rsidRDefault="002F201C" w:rsidP="002E66F2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</w:pPr>
      <w:proofErr w:type="spellStart"/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Sheng</w:t>
      </w:r>
      <w:proofErr w:type="spellEnd"/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 C., Zhang W. //Medicinal Research Reviews. – 2013. – </w:t>
      </w:r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Т</w:t>
      </w:r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. 33. – №. 3. – </w:t>
      </w:r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С</w:t>
      </w:r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. 554-598. </w:t>
      </w:r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doi.org/10.1002/med.21255</w:t>
      </w:r>
    </w:p>
    <w:p w:rsidR="002E40B9" w:rsidRPr="002E66F2" w:rsidRDefault="002F201C" w:rsidP="002E66F2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</w:pPr>
      <w:proofErr w:type="spellStart"/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Shulga</w:t>
      </w:r>
      <w:proofErr w:type="spellEnd"/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 D. A., </w:t>
      </w:r>
      <w:proofErr w:type="spellStart"/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Ivanov</w:t>
      </w:r>
      <w:proofErr w:type="spellEnd"/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 N. N., </w:t>
      </w:r>
      <w:proofErr w:type="spellStart"/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Palyulin</w:t>
      </w:r>
      <w:proofErr w:type="spellEnd"/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 V. A. //Mendeleev Communications. – 2021. – </w:t>
      </w:r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Т</w:t>
      </w:r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. 31. – №. 3. – </w:t>
      </w:r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С</w:t>
      </w:r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. 291-293. </w:t>
      </w:r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doi.org/10.1016/j.mencom.2021.04.004</w:t>
      </w:r>
    </w:p>
    <w:p w:rsidR="002E40B9" w:rsidRPr="002E66F2" w:rsidRDefault="002F201C" w:rsidP="002E66F2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Ivanov</w:t>
      </w:r>
      <w:proofErr w:type="spellEnd"/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 N. N., </w:t>
      </w:r>
      <w:proofErr w:type="spellStart"/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Shulga</w:t>
      </w:r>
      <w:proofErr w:type="spellEnd"/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 D. A., </w:t>
      </w:r>
      <w:proofErr w:type="spellStart"/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Palyulin</w:t>
      </w:r>
      <w:proofErr w:type="spellEnd"/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 V. A. //</w:t>
      </w:r>
      <w:proofErr w:type="spellStart"/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Biophysica</w:t>
      </w:r>
      <w:proofErr w:type="spellEnd"/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. – 2023. – </w:t>
      </w:r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Т</w:t>
      </w:r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. 3. – №. 2. – </w:t>
      </w:r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С</w:t>
      </w:r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. 362-372.</w:t>
      </w:r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doi.org/10.3390/biophysica3020024</w:t>
      </w:r>
    </w:p>
    <w:p w:rsidR="002E40B9" w:rsidRPr="002E66F2" w:rsidRDefault="002F201C" w:rsidP="002E66F2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Shulga</w:t>
      </w:r>
      <w:proofErr w:type="spellEnd"/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 D. A., </w:t>
      </w:r>
      <w:proofErr w:type="spellStart"/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Ivanov</w:t>
      </w:r>
      <w:proofErr w:type="spellEnd"/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 N. N., </w:t>
      </w:r>
      <w:proofErr w:type="spellStart"/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Palyulin</w:t>
      </w:r>
      <w:proofErr w:type="spellEnd"/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 V. A. //Molecules. – 2022. – </w:t>
      </w:r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Т</w:t>
      </w:r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. 27. – №. </w:t>
      </w:r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6. – С. 1985.</w:t>
      </w:r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 </w:t>
      </w:r>
      <w:r w:rsidRPr="002E66F2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doi.org/10.3390/molecules27061985</w:t>
      </w:r>
    </w:p>
    <w:sectPr w:rsidR="002E40B9" w:rsidRPr="002E66F2" w:rsidSect="002F201C">
      <w:pgSz w:w="11909" w:h="16834"/>
      <w:pgMar w:top="1134" w:right="1361" w:bottom="1134" w:left="136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5BE"/>
    <w:multiLevelType w:val="multilevel"/>
    <w:tmpl w:val="A0823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40B9"/>
    <w:rsid w:val="00111BDE"/>
    <w:rsid w:val="002E40B9"/>
    <w:rsid w:val="002E66F2"/>
    <w:rsid w:val="002F201C"/>
    <w:rsid w:val="009E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677A"/>
  </w:style>
  <w:style w:type="paragraph" w:styleId="1">
    <w:name w:val="heading 1"/>
    <w:basedOn w:val="a"/>
    <w:next w:val="a"/>
    <w:rsid w:val="009E677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9E677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9E677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9E677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9E677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9E677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E67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E677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9E677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rsid w:val="009E677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E677A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E677A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F20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201C"/>
    <w:rPr>
      <w:rFonts w:ascii="Segoe UI" w:hAnsi="Segoe UI" w:cs="Segoe UI"/>
      <w:sz w:val="18"/>
      <w:szCs w:val="18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2F201C"/>
    <w:rPr>
      <w:b/>
      <w:bCs/>
    </w:rPr>
  </w:style>
  <w:style w:type="character" w:customStyle="1" w:styleId="ab">
    <w:name w:val="Тема примечания Знак"/>
    <w:basedOn w:val="a6"/>
    <w:link w:val="aa"/>
    <w:uiPriority w:val="99"/>
    <w:semiHidden/>
    <w:rsid w:val="002F201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21/jm040031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Dubinina</dc:creator>
  <cp:lastModifiedBy>Tatiana Dubinina</cp:lastModifiedBy>
  <cp:revision>3</cp:revision>
  <dcterms:created xsi:type="dcterms:W3CDTF">2025-03-17T21:23:00Z</dcterms:created>
  <dcterms:modified xsi:type="dcterms:W3CDTF">2025-03-17T21:23:00Z</dcterms:modified>
</cp:coreProperties>
</file>