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8DB8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b/>
          <w:color w:val="000000"/>
          <w:lang w:val="ru-RU"/>
        </w:rPr>
      </w:pPr>
      <w:r>
        <w:rPr>
          <w:rFonts w:hint="default"/>
          <w:b/>
          <w:color w:val="000000"/>
          <w:lang w:val="ru-RU"/>
        </w:rPr>
        <w:t>1,2- и 1,3-цвиттерионные комплексы донороно-акцепторных циклопропанов в реакциях с</w:t>
      </w:r>
      <w:r>
        <w:rPr>
          <w:b/>
          <w:color w:val="000000"/>
        </w:rPr>
        <w:t xml:space="preserve"> 1-арил-1-метилалленами </w:t>
      </w:r>
    </w:p>
    <w:p w14:paraId="1FFAE5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b/>
          <w:i/>
          <w:color w:val="000000"/>
          <w:lang w:val="ru-RU"/>
        </w:rPr>
        <w:t>Ульченко</w:t>
      </w:r>
      <w:r>
        <w:rPr>
          <w:rFonts w:hint="default"/>
          <w:b/>
          <w:i/>
          <w:color w:val="000000"/>
          <w:lang w:val="ru-RU"/>
        </w:rPr>
        <w:t xml:space="preserve"> Е.А.</w:t>
      </w:r>
      <w:r>
        <w:rPr>
          <w:b/>
          <w:i/>
          <w:color w:val="000000"/>
          <w:vertAlign w:val="superscript"/>
        </w:rPr>
        <w:t>1,2</w:t>
      </w:r>
      <w:r>
        <w:rPr>
          <w:rFonts w:hint="default"/>
          <w:b/>
          <w:i/>
          <w:color w:val="000000"/>
          <w:lang w:val="ru-RU"/>
        </w:rPr>
        <w:t>, Ершова А.А.</w:t>
      </w:r>
      <w:r>
        <w:rPr>
          <w:b/>
          <w:i/>
          <w:color w:val="000000"/>
          <w:vertAlign w:val="superscript"/>
        </w:rPr>
        <w:t>2</w:t>
      </w:r>
      <w:r>
        <w:rPr>
          <w:rFonts w:hint="default"/>
          <w:b/>
          <w:i/>
          <w:color w:val="000000"/>
          <w:vertAlign w:val="superscript"/>
          <w:lang w:val="ru-RU"/>
        </w:rPr>
        <w:t>,3</w:t>
      </w:r>
      <w:r>
        <w:rPr>
          <w:rFonts w:hint="default"/>
          <w:b/>
          <w:i/>
          <w:color w:val="000000"/>
          <w:vertAlign w:val="baseline"/>
          <w:lang w:val="ru-RU"/>
        </w:rPr>
        <w:t>, Борисов Д.Д.</w:t>
      </w:r>
      <w:r>
        <w:rPr>
          <w:b/>
          <w:i/>
          <w:color w:val="000000"/>
          <w:vertAlign w:val="superscript"/>
        </w:rPr>
        <w:t>2</w:t>
      </w:r>
    </w:p>
    <w:p w14:paraId="000000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color w:val="000000"/>
          <w:lang w:val="ru-RU"/>
        </w:rPr>
      </w:pPr>
      <w:r>
        <w:rPr>
          <w:i/>
          <w:color w:val="000000"/>
        </w:rPr>
        <w:t xml:space="preserve">Студент, 4 курс </w:t>
      </w:r>
      <w:r>
        <w:rPr>
          <w:i/>
          <w:color w:val="000000"/>
          <w:lang w:val="ru-RU"/>
        </w:rPr>
        <w:t>бакалавриата</w:t>
      </w:r>
    </w:p>
    <w:p w14:paraId="6820DE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rFonts w:hint="default"/>
          <w:i/>
          <w:color w:val="000000"/>
        </w:rPr>
        <w:t xml:space="preserve">Российский химико-технологический университет имени Д.И. Менделеева,  </w:t>
      </w:r>
    </w:p>
    <w:p w14:paraId="000000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rFonts w:hint="default"/>
          <w:i/>
          <w:color w:val="000000"/>
        </w:rPr>
        <w:t xml:space="preserve">факультет химико-фармацевтических технологий и биомедицинских препаратов, Москва, Россия </w:t>
      </w:r>
      <w:r>
        <w:rPr>
          <w:i/>
          <w:color w:val="000000"/>
        </w:rPr>
        <w:t xml:space="preserve"> </w:t>
      </w:r>
    </w:p>
    <w:p w14:paraId="7E8D78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rFonts w:hint="default"/>
          <w:i/>
          <w:color w:val="000000"/>
        </w:rPr>
        <w:t xml:space="preserve">Институт органической химии им. Н.Д. Зелинского РАН, Москва, Россия </w:t>
      </w:r>
    </w:p>
    <w:p w14:paraId="3C51AE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i/>
          <w:color w:val="000000"/>
        </w:rPr>
      </w:pPr>
      <w:r>
        <w:rPr>
          <w:rFonts w:hint="default"/>
          <w:i/>
          <w:color w:val="000000"/>
          <w:vertAlign w:val="superscript"/>
          <w:lang w:val="ru-RU"/>
        </w:rPr>
        <w:t>3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 w:type="textWrapping"/>
      </w:r>
      <w:r>
        <w:rPr>
          <w:i/>
          <w:color w:val="000000"/>
        </w:rPr>
        <w:t xml:space="preserve">химический факультет, Москва, Россия </w:t>
      </w:r>
    </w:p>
    <w:p w14:paraId="1ADA42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center"/>
        <w:rPr>
          <w:rFonts w:hint="default"/>
          <w:color w:val="000000"/>
          <w:lang w:val="en-US"/>
        </w:rPr>
      </w:pPr>
      <w:r>
        <w:rPr>
          <w:i/>
          <w:color w:val="000000"/>
        </w:rPr>
        <w:t xml:space="preserve">E-mail: </w:t>
      </w:r>
      <w:r>
        <w:rPr>
          <w:rFonts w:hint="default"/>
          <w:i/>
          <w:color w:val="000000"/>
          <w:u w:val="single"/>
          <w:lang w:val="en-US"/>
        </w:rPr>
        <w:t>lizaulch@gmail.com</w:t>
      </w:r>
    </w:p>
    <w:p w14:paraId="2582DF47">
      <w:pPr>
        <w:shd w:val="clear" w:color="auto" w:fill="FFFFFF"/>
        <w:ind w:firstLine="397"/>
        <w:jc w:val="both"/>
      </w:pPr>
      <w:r>
        <w:t>Донорно-акцепторные циклопропаны (ДАЦ) являются удобными синтонами, применяемыми в синтезе сложных полифункциональных структур. Реакции с их участием протекают быстро, с высокой регио- и стереоселективностью и имеют большое практическое значение из-за лёгкости раскрытия цикла и многообразия перегруппировок. Такое поведение позволило использовать ДАЦ в области органической и медицинской химии для получения разнообразных функционально</w:t>
      </w:r>
      <w:r>
        <w:rPr>
          <w:rFonts w:ascii="Times New Roman" w:hAnsi="Times New Roman" w:cs="Times New Roman"/>
        </w:rPr>
        <w:t xml:space="preserve"> насыщенны</w:t>
      </w:r>
      <w:r>
        <w:rPr>
          <w:rFonts w:ascii="Times New Roman" w:hAnsi="Times New Roman" w:cs="Times New Roman"/>
          <w:lang w:val="ru-RU"/>
        </w:rPr>
        <w:t>х</w:t>
      </w:r>
      <w:r>
        <w:t xml:space="preserve"> структур, которые обладают широким спектром химической и биологической активности. Описаны реакции ДАЦ с алкенами, алкинами, диенами, альдегидами, изоцианатами, иминами, нитрилами и многими другими реагентами.</w:t>
      </w:r>
    </w:p>
    <w:p w14:paraId="6118AA1C">
      <w:pPr>
        <w:shd w:val="clear" w:color="auto" w:fill="FFFFFF"/>
        <w:ind w:firstLine="397"/>
        <w:jc w:val="both"/>
      </w:pPr>
      <w:r>
        <w:t>В данной работе было изучено поведение 1,2- и 1,3-цвиттер-ионных комплексов 2</w:t>
      </w:r>
      <w:r>
        <w:noBreakHyphen/>
      </w:r>
      <w:r>
        <w:t xml:space="preserve">арилциклопропан 1,1-дикарбоксилатов, генерируемых с помощью кислоты Льюиса </w:t>
      </w:r>
      <w:r>
        <w:rPr>
          <w:lang w:val="en-US"/>
        </w:rPr>
        <w:t>GaCl</w:t>
      </w:r>
      <w:r>
        <w:rPr>
          <w:vertAlign w:val="subscript"/>
        </w:rPr>
        <w:t>3</w:t>
      </w:r>
      <w:r>
        <w:t>, в реакциях с 1-арил-1-метилалленами. Описываемые реакции представлены на схеме 1.</w:t>
      </w:r>
    </w:p>
    <w:p w14:paraId="49A4330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72390</wp:posOffset>
            </wp:positionV>
            <wp:extent cx="6280785" cy="2537460"/>
            <wp:effectExtent l="0" t="0" r="13335" b="7620"/>
            <wp:wrapTopAndBottom/>
            <wp:docPr id="4" name="Изображение 4" descr="ломоносо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ломоносов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6118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center"/>
        <w:rPr>
          <w:rFonts w:hint="default" w:ascii="Times New Roman" w:hAnsi="Times New Roman"/>
          <w:vertAlign w:val="subscript"/>
          <w:lang w:val="ru-RU"/>
        </w:rPr>
      </w:pPr>
      <w:r>
        <w:rPr>
          <w:color w:val="000000"/>
        </w:rPr>
        <w:t xml:space="preserve">Схема 1. </w:t>
      </w:r>
      <w:r>
        <w:rPr>
          <w:color w:val="000000"/>
          <w:lang w:val="ru-RU"/>
        </w:rPr>
        <w:t>Взаимодействие</w:t>
      </w:r>
      <w:r>
        <w:rPr>
          <w:rFonts w:hint="default"/>
          <w:color w:val="000000"/>
          <w:lang w:val="ru-RU"/>
        </w:rPr>
        <w:t xml:space="preserve"> ДАЦ с алленами под действием </w:t>
      </w:r>
      <w:r>
        <w:rPr>
          <w:rFonts w:hint="default" w:ascii="Times New Roman" w:hAnsi="Times New Roman"/>
          <w:lang w:val="en-US"/>
        </w:rPr>
        <w:t>GaCl</w:t>
      </w:r>
      <w:r>
        <w:rPr>
          <w:rFonts w:hint="default" w:ascii="Times New Roman" w:hAnsi="Times New Roman"/>
          <w:vertAlign w:val="subscript"/>
          <w:lang w:val="en-US"/>
        </w:rPr>
        <w:t>3</w:t>
      </w:r>
      <w:bookmarkStart w:id="0" w:name="_GoBack"/>
      <w:bookmarkEnd w:id="0"/>
    </w:p>
    <w:p w14:paraId="20761B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Разработаны эффективные методики синтеза замещённых инденов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и метиленциклопентан-1,1-дикарбоксилатов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2 </w:t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ru-RU"/>
        </w:rPr>
        <w:t>с высокой диастереоселективностью и хорошими выходами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>. Также были получены продукты их последующей циклизации.</w:t>
      </w:r>
    </w:p>
    <w:p w14:paraId="25FE92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Изучено влияние электронных и стерических эффектов заместителей в ароматическом фрагменте ДАЦ и аллена на ход реакций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(3+2)-циклоприсоединения и аннелирования.</w:t>
      </w:r>
    </w:p>
    <w:p w14:paraId="4096AD55">
      <w:pPr>
        <w:shd w:val="clear" w:color="auto" w:fill="FFFFFF"/>
        <w:ind w:firstLine="397"/>
        <w:jc w:val="both"/>
        <w:rPr>
          <w:i/>
          <w:iCs/>
        </w:rPr>
      </w:pPr>
      <w:r>
        <w:rPr>
          <w:i/>
          <w:iCs/>
        </w:rPr>
        <w:t>Работа выполнена при финансовой поддержке РНФ (проект № 22-13-00418)</w:t>
      </w:r>
    </w:p>
    <w:p w14:paraId="50B034C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 w:ascii="Times New Roman" w:hAnsi="Times New Roman" w:eastAsia="Times New Roman"/>
          <w:sz w:val="24"/>
          <w:szCs w:val="24"/>
          <w:lang w:val="ru-RU"/>
        </w:rPr>
      </w:pP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B5BBE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  <w:rsid w:val="0C1645B4"/>
    <w:rsid w:val="10790217"/>
    <w:rsid w:val="28906419"/>
    <w:rsid w:val="5059754C"/>
    <w:rsid w:val="58EC27F2"/>
    <w:rsid w:val="771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link w:val="15"/>
    <w:qFormat/>
    <w:uiPriority w:val="34"/>
    <w:pPr>
      <w:ind w:left="720"/>
      <w:contextualSpacing/>
    </w:pPr>
  </w:style>
  <w:style w:type="character" w:customStyle="1" w:styleId="15">
    <w:name w:val="Абзац списка Знак"/>
    <w:basedOn w:val="8"/>
    <w:link w:val="14"/>
    <w:qFormat/>
    <w:locked/>
    <w:uiPriority w:val="34"/>
  </w:style>
  <w:style w:type="character" w:styleId="16">
    <w:name w:val="Placeholder Text"/>
    <w:basedOn w:val="8"/>
    <w:semiHidden/>
    <w:qFormat/>
    <w:uiPriority w:val="99"/>
    <w:rPr>
      <w:color w:val="808080"/>
    </w:rPr>
  </w:style>
  <w:style w:type="paragraph" w:styleId="17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Lomonosov MSU</Company>
  <Pages>1</Pages>
  <Words>851</Words>
  <Characters>4854</Characters>
  <Lines>1</Lines>
  <Paragraphs>1</Paragraphs>
  <TotalTime>5</TotalTime>
  <ScaleCrop>false</ScaleCrop>
  <LinksUpToDate>false</LinksUpToDate>
  <CharactersWithSpaces>5694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2024-12-16T00:35:00Z</dcterms:created>
  <dc:creator>lizau</dc:creator>
  <cp:lastModifiedBy>lizau</cp:lastModifiedBy>
  <dcterms:modified xsi:type="dcterms:W3CDTF">2025-03-07T14:22:14Z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5FC6E7A5B2674316894DBA604B83199F_13</vt:lpwstr>
  </property>
</Properties>
</file>