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80550EC" w:rsidR="00130241" w:rsidRDefault="00747333" w:rsidP="00197230">
      <w:pPr>
        <w:pBdr>
          <w:top w:val="nil"/>
          <w:left w:val="nil"/>
          <w:bottom w:val="nil"/>
          <w:right w:val="nil"/>
          <w:between w:val="nil"/>
        </w:pBdr>
        <w:shd w:val="clear" w:color="auto" w:fill="FFFFFF"/>
        <w:jc w:val="center"/>
        <w:rPr>
          <w:color w:val="000000"/>
        </w:rPr>
      </w:pPr>
      <w:r>
        <w:rPr>
          <w:b/>
          <w:color w:val="000000"/>
        </w:rPr>
        <w:t>Гликозилированные алкоксиамины</w:t>
      </w:r>
      <w:r w:rsidRPr="00747333">
        <w:rPr>
          <w:b/>
          <w:color w:val="000000"/>
        </w:rPr>
        <w:t xml:space="preserve"> – </w:t>
      </w:r>
      <w:r w:rsidR="001F71DF">
        <w:rPr>
          <w:b/>
          <w:color w:val="000000"/>
        </w:rPr>
        <w:t xml:space="preserve">новые агенты противораковой терапии </w:t>
      </w:r>
    </w:p>
    <w:p w14:paraId="00000002" w14:textId="2EC09597" w:rsidR="00130241" w:rsidRDefault="001F71DF" w:rsidP="00197230">
      <w:pPr>
        <w:pBdr>
          <w:top w:val="nil"/>
          <w:left w:val="nil"/>
          <w:bottom w:val="nil"/>
          <w:right w:val="nil"/>
          <w:between w:val="nil"/>
        </w:pBdr>
        <w:shd w:val="clear" w:color="auto" w:fill="FFFFFF"/>
        <w:jc w:val="center"/>
        <w:rPr>
          <w:color w:val="000000"/>
        </w:rPr>
      </w:pPr>
      <w:r>
        <w:rPr>
          <w:b/>
          <w:i/>
          <w:color w:val="000000"/>
        </w:rPr>
        <w:t>Колесникова Ю.А</w:t>
      </w:r>
      <w:r w:rsidR="00EB1F49">
        <w:rPr>
          <w:b/>
          <w:i/>
          <w:color w:val="000000"/>
        </w:rPr>
        <w:t>.</w:t>
      </w:r>
    </w:p>
    <w:p w14:paraId="00000003" w14:textId="2FE8C91E" w:rsidR="00130241" w:rsidRDefault="00EB1F49" w:rsidP="00197230">
      <w:pPr>
        <w:pBdr>
          <w:top w:val="nil"/>
          <w:left w:val="nil"/>
          <w:bottom w:val="nil"/>
          <w:right w:val="nil"/>
          <w:between w:val="nil"/>
        </w:pBdr>
        <w:shd w:val="clear" w:color="auto" w:fill="FFFFFF"/>
        <w:jc w:val="center"/>
        <w:rPr>
          <w:color w:val="000000"/>
        </w:rPr>
      </w:pPr>
      <w:r>
        <w:rPr>
          <w:i/>
          <w:color w:val="000000"/>
        </w:rPr>
        <w:t xml:space="preserve">Студент, </w:t>
      </w:r>
      <w:r w:rsidR="0082778D">
        <w:rPr>
          <w:i/>
          <w:color w:val="000000"/>
        </w:rPr>
        <w:t>1</w:t>
      </w:r>
      <w:r>
        <w:rPr>
          <w:i/>
          <w:color w:val="000000"/>
        </w:rPr>
        <w:t xml:space="preserve"> курс</w:t>
      </w:r>
      <w:r w:rsidR="0082778D">
        <w:rPr>
          <w:i/>
          <w:color w:val="000000"/>
        </w:rPr>
        <w:t>а</w:t>
      </w:r>
      <w:r>
        <w:rPr>
          <w:i/>
          <w:color w:val="000000"/>
        </w:rPr>
        <w:t xml:space="preserve"> </w:t>
      </w:r>
      <w:r w:rsidR="0082778D">
        <w:rPr>
          <w:i/>
          <w:color w:val="000000"/>
        </w:rPr>
        <w:t>магистратуры</w:t>
      </w:r>
    </w:p>
    <w:p w14:paraId="00000005" w14:textId="10959DA3" w:rsidR="00130241" w:rsidRPr="000E334E" w:rsidRDefault="0082778D" w:rsidP="00197230">
      <w:pPr>
        <w:pBdr>
          <w:top w:val="nil"/>
          <w:left w:val="nil"/>
          <w:bottom w:val="nil"/>
          <w:right w:val="nil"/>
          <w:between w:val="nil"/>
        </w:pBdr>
        <w:shd w:val="clear" w:color="auto" w:fill="FFFFFF"/>
        <w:jc w:val="center"/>
        <w:rPr>
          <w:color w:val="000000"/>
        </w:rPr>
      </w:pPr>
      <w:r w:rsidRPr="0082778D">
        <w:rPr>
          <w:i/>
          <w:color w:val="000000"/>
        </w:rPr>
        <w:t>Национальный исследовательский Томс</w:t>
      </w:r>
      <w:r>
        <w:rPr>
          <w:i/>
          <w:color w:val="000000"/>
        </w:rPr>
        <w:t>кий политехнический университет,  </w:t>
      </w:r>
      <w:r w:rsidRPr="0082778D">
        <w:rPr>
          <w:i/>
          <w:color w:val="000000"/>
        </w:rPr>
        <w:t>Томск,</w:t>
      </w:r>
      <w:r>
        <w:rPr>
          <w:i/>
          <w:color w:val="000000"/>
        </w:rPr>
        <w:t> Россия</w:t>
      </w:r>
    </w:p>
    <w:p w14:paraId="00000008" w14:textId="65005A11" w:rsidR="00130241" w:rsidRDefault="00EB1F49" w:rsidP="00197230">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proofErr w:type="spellStart"/>
      <w:r>
        <w:rPr>
          <w:i/>
          <w:color w:val="000000"/>
        </w:rPr>
        <w:t>mail</w:t>
      </w:r>
      <w:proofErr w:type="spellEnd"/>
      <w:r>
        <w:rPr>
          <w:i/>
          <w:color w:val="000000"/>
        </w:rPr>
        <w:t xml:space="preserve">: </w:t>
      </w:r>
      <w:hyperlink r:id="rId7" w:history="1">
        <w:r w:rsidR="0082778D" w:rsidRPr="0082778D">
          <w:rPr>
            <w:rStyle w:val="a9"/>
            <w:i/>
            <w:lang w:val="en-US"/>
          </w:rPr>
          <w:t>yak</w:t>
        </w:r>
        <w:r w:rsidR="0082778D" w:rsidRPr="0082778D">
          <w:rPr>
            <w:rStyle w:val="a9"/>
            <w:i/>
          </w:rPr>
          <w:t>35@</w:t>
        </w:r>
        <w:proofErr w:type="spellStart"/>
        <w:r w:rsidR="0082778D" w:rsidRPr="0082778D">
          <w:rPr>
            <w:rStyle w:val="a9"/>
            <w:i/>
            <w:lang w:val="en-US"/>
          </w:rPr>
          <w:t>tpu</w:t>
        </w:r>
        <w:proofErr w:type="spellEnd"/>
        <w:r w:rsidR="0082778D" w:rsidRPr="0082778D">
          <w:rPr>
            <w:rStyle w:val="a9"/>
            <w:i/>
          </w:rPr>
          <w:t>.</w:t>
        </w:r>
        <w:proofErr w:type="spellStart"/>
        <w:r w:rsidR="0082778D" w:rsidRPr="0082778D">
          <w:rPr>
            <w:rStyle w:val="a9"/>
            <w:i/>
            <w:lang w:val="en-US"/>
          </w:rPr>
          <w:t>ru</w:t>
        </w:r>
        <w:proofErr w:type="spellEnd"/>
      </w:hyperlink>
      <w:r>
        <w:rPr>
          <w:i/>
          <w:color w:val="000000"/>
        </w:rPr>
        <w:t xml:space="preserve"> </w:t>
      </w:r>
    </w:p>
    <w:p w14:paraId="47DBB70D" w14:textId="499C6A7A" w:rsidR="00BE610E" w:rsidRDefault="00747333" w:rsidP="00197230">
      <w:pPr>
        <w:pBdr>
          <w:top w:val="nil"/>
          <w:left w:val="nil"/>
          <w:bottom w:val="nil"/>
          <w:right w:val="nil"/>
          <w:between w:val="nil"/>
        </w:pBdr>
        <w:shd w:val="clear" w:color="auto" w:fill="FFFFFF"/>
        <w:ind w:firstLine="397"/>
        <w:jc w:val="both"/>
        <w:rPr>
          <w:color w:val="000000"/>
        </w:rPr>
      </w:pPr>
      <w:r>
        <w:rPr>
          <w:color w:val="000000"/>
        </w:rPr>
        <w:t>В современной противораковой химиотерапии б</w:t>
      </w:r>
      <w:r w:rsidRPr="00747333">
        <w:rPr>
          <w:color w:val="000000"/>
        </w:rPr>
        <w:t xml:space="preserve">ольшую популярность </w:t>
      </w:r>
      <w:r>
        <w:rPr>
          <w:color w:val="000000"/>
        </w:rPr>
        <w:t>получили так называемые «латентные препараты</w:t>
      </w:r>
      <w:r w:rsidRPr="00747333">
        <w:rPr>
          <w:color w:val="000000"/>
        </w:rPr>
        <w:t>»</w:t>
      </w:r>
      <w:r>
        <w:rPr>
          <w:color w:val="000000"/>
        </w:rPr>
        <w:t xml:space="preserve"> или пролекарства</w:t>
      </w:r>
      <w:r w:rsidR="008017A8">
        <w:rPr>
          <w:color w:val="000000"/>
        </w:rPr>
        <w:t xml:space="preserve"> </w:t>
      </w:r>
      <w:r w:rsidR="0075152A">
        <w:rPr>
          <w:color w:val="000000"/>
        </w:rPr>
        <w:fldChar w:fldCharType="begin" w:fldLock="1"/>
      </w:r>
      <w:r w:rsidR="0075152A">
        <w:rPr>
          <w:color w:val="000000"/>
        </w:rPr>
        <w:instrText>ADDIN CSL_CITATION {"citationItems":[{"id":"ITEM-1","itemData":{"DOI":"10.1039/d2cs00379a","ISSN":"14604744","PMID":"36349720","abstract":"In this review glycosidase activated prodrugs that target cancer cells are discussed. Glycosylated prodrugs undergo enzymatic bioconversion, cleaving the prodrug to release the anticancer drug at the desired site of action, hence minimising the toxic side effects associated with many current anticancer drugs. In addition, the presence of the carbohydrate moiety increases the aqueous solubility of the drugs, allowing for a more effective treatment. In the past decade, significant advancements have been made in this field that have led to the development of many novel carbohydrate-based prodrugs - ranging from simple glycoconjugates to complex self-assemblies and materials, which are discussed in detail herein.","author":[{"dropping-particle":"","family":"Martin","given":"Harlei","non-dropping-particle":"","parse-names":false,"suffix":""},{"dropping-particle":"","family":"Lázaro","given":"Laura Ramírez","non-dropping-particle":"","parse-names":false,"suffix":""},{"dropping-particle":"","family":"Gunnlaugsson","given":"Thorfinnur","non-dropping-particle":"","parse-names":false,"suffix":""},{"dropping-particle":"","family":"Scanlan","given":"Eoin M.","non-dropping-particle":"","parse-names":false,"suffix":""}],"container-title":"Chemical Society Reviews","id":"ITEM-1","issue":"23","issued":{"date-parts":[["2022"]]},"page":"9694-9716","title":"Glycosidase activated prodrugs for targeted cancer therapy","type":"article-journal","volume":"51"},"uris":["http://www.mendeley.com/documents/?uuid=15236548-8c7f-4065-be88-d18a966519ba"]}],"mendeley":{"formattedCitation":"[1]","plainTextFormattedCitation":"[1]","previouslyFormattedCitation":"[1]"},"properties":{"noteIndex":0},"schema":"https://github.com/citation-style-language/schema/raw/master/csl-citation.json"}</w:instrText>
      </w:r>
      <w:r w:rsidR="0075152A">
        <w:rPr>
          <w:color w:val="000000"/>
        </w:rPr>
        <w:fldChar w:fldCharType="separate"/>
      </w:r>
      <w:r w:rsidR="0075152A" w:rsidRPr="0075152A">
        <w:rPr>
          <w:noProof/>
          <w:color w:val="000000"/>
        </w:rPr>
        <w:t>[1]</w:t>
      </w:r>
      <w:r w:rsidR="0075152A">
        <w:rPr>
          <w:color w:val="000000"/>
        </w:rPr>
        <w:fldChar w:fldCharType="end"/>
      </w:r>
      <w:r>
        <w:rPr>
          <w:color w:val="000000"/>
        </w:rPr>
        <w:t>.</w:t>
      </w:r>
      <w:r w:rsidR="00734656">
        <w:rPr>
          <w:color w:val="000000"/>
        </w:rPr>
        <w:t xml:space="preserve"> В нативной форме они не оказываю</w:t>
      </w:r>
      <w:r w:rsidR="00734656" w:rsidRPr="00734656">
        <w:rPr>
          <w:color w:val="000000"/>
        </w:rPr>
        <w:t>т цитотоксического эффекта, одн</w:t>
      </w:r>
      <w:r w:rsidR="00734656">
        <w:rPr>
          <w:color w:val="000000"/>
        </w:rPr>
        <w:t xml:space="preserve">ако </w:t>
      </w:r>
      <w:r w:rsidR="00734656" w:rsidRPr="00734656">
        <w:rPr>
          <w:color w:val="000000"/>
        </w:rPr>
        <w:t>под действием клеточных ферментов или естественных метаболитов клетки происходит высвобождение активного агента и как следствие клеточная гибель</w:t>
      </w:r>
      <w:r w:rsidR="00734656">
        <w:rPr>
          <w:color w:val="000000"/>
        </w:rPr>
        <w:t>. Использование пролекарственных препаратов позволяет повысить химиотерапевтический индекс и снизить системную цитотоксичность – что является основной задачей в рамках химиотерапии рака.</w:t>
      </w:r>
      <w:r>
        <w:rPr>
          <w:color w:val="000000"/>
        </w:rPr>
        <w:t xml:space="preserve"> </w:t>
      </w:r>
    </w:p>
    <w:p w14:paraId="25D07D8E" w14:textId="22EE82CE" w:rsidR="00747333" w:rsidRDefault="00FB0CCC" w:rsidP="00197230">
      <w:pPr>
        <w:pBdr>
          <w:top w:val="nil"/>
          <w:left w:val="nil"/>
          <w:bottom w:val="nil"/>
          <w:right w:val="nil"/>
          <w:between w:val="nil"/>
        </w:pBdr>
        <w:shd w:val="clear" w:color="auto" w:fill="FFFFFF"/>
        <w:ind w:firstLine="397"/>
        <w:jc w:val="both"/>
        <w:rPr>
          <w:color w:val="000000"/>
        </w:rPr>
      </w:pPr>
      <w:r>
        <w:rPr>
          <w:color w:val="000000"/>
        </w:rPr>
        <w:t xml:space="preserve">Перспективные молекулы для данного применения – </w:t>
      </w:r>
      <w:r w:rsidR="00747333" w:rsidRPr="00747333">
        <w:rPr>
          <w:color w:val="000000"/>
        </w:rPr>
        <w:t>конъ</w:t>
      </w:r>
      <w:r w:rsidR="00314E55">
        <w:rPr>
          <w:color w:val="000000"/>
        </w:rPr>
        <w:t>югаты действующих цитостатиков</w:t>
      </w:r>
      <w:r w:rsidR="00314E55" w:rsidRPr="00314E55">
        <w:rPr>
          <w:color w:val="000000"/>
        </w:rPr>
        <w:t xml:space="preserve"> </w:t>
      </w:r>
      <w:r w:rsidR="00314E55">
        <w:rPr>
          <w:color w:val="000000"/>
        </w:rPr>
        <w:t>и специфичных сахарных остатков</w:t>
      </w:r>
      <w:r w:rsidR="00197230">
        <w:rPr>
          <w:color w:val="000000"/>
        </w:rPr>
        <w:t>. Они активируются</w:t>
      </w:r>
      <w:r w:rsidR="00747333" w:rsidRPr="00747333">
        <w:rPr>
          <w:color w:val="000000"/>
        </w:rPr>
        <w:t xml:space="preserve"> в результате </w:t>
      </w:r>
      <w:r w:rsidR="00197230">
        <w:rPr>
          <w:color w:val="000000"/>
        </w:rPr>
        <w:t>действия углеводных</w:t>
      </w:r>
      <w:r w:rsidR="00747333" w:rsidRPr="00747333">
        <w:rPr>
          <w:color w:val="000000"/>
        </w:rPr>
        <w:t xml:space="preserve"> ферментов</w:t>
      </w:r>
      <w:r w:rsidR="00197230">
        <w:rPr>
          <w:color w:val="000000"/>
        </w:rPr>
        <w:t xml:space="preserve"> – гликозидаз –</w:t>
      </w:r>
      <w:r w:rsidR="00747333" w:rsidRPr="00747333">
        <w:rPr>
          <w:color w:val="000000"/>
        </w:rPr>
        <w:t xml:space="preserve"> которые экспрессируются раковыми клетками в избыточном количестве </w:t>
      </w:r>
      <w:r w:rsidR="0075152A">
        <w:rPr>
          <w:color w:val="000000"/>
        </w:rPr>
        <w:fldChar w:fldCharType="begin" w:fldLock="1"/>
      </w:r>
      <w:r w:rsidR="0075152A">
        <w:rPr>
          <w:color w:val="000000"/>
        </w:rPr>
        <w:instrText>ADDIN CSL_CITATION {"citationItems":[{"id":"ITEM-1","itemData":{"DOI":"10.1021/mp300581u","ISSN":"15438384","PMID":"23448264","abstract":"Conventional cancer chemotherapy is limited by systemic toxicity and poor selectivity. Tumor-selective activation of glucuronide prodrugs by beta-glucuronidase in the tumor microenvironment in a monotherapeutic approach is one promising way to increase cancer selectivity. Here we examined the cellular requirement for enzymatic activation as well as the in vivo toxicity and antitumor activity of a glucuronide prodrug of a potent duocarmycin analogue that is active at low picomolar concentrations. Prodrug activation by intracellular and extracellular beta-glucuronidase was investigated by measuring prodrug 2 cytotoxicity against human cancer cell lines that displayed different endogenous levels of beta-glucuronidase, as well as against beta-glucuronidase-deficient fibroblasts and newly established beta-glucuronidase knockdown cancer lines. In all cases, glucuronide prodrug 2 was 1000-5000 times less cytotoxic than the parent duocarmycin analogue regardless of intracellular levels of beta-glucuronidase. By contrast, cancer cells that displayed tethered beta-glucuronidase on their plasma membrane were 80-fold more sensitive to glucuronide prodrug 2, demonstrating that prodrug activation depended primarily on extracellular rather than intracellular beta-glucuronidase activity. Glucuronide prodrug 2 (2.5 mg/kg) displayed greater antitumor activity and less systemic toxicity in vivo than the clinically used drug carboplatin (50 mg/kg) to mice bearing human lung cancer xenografts. Intratumoral injection of an adenoviral vector expressing membrane-tethered beta-glucuronidase dramatically enhanced the in vivo antitumor activity of prodrug 2. Our data provide evidence that increasing extracellular beta-glucuronidase activity in the tumor microenvironment can boost the therapeutic index of a highly potent glucuronide prodrug. © 2013 American Chemical Society.","author":[{"dropping-particle":"","family":"Chen","given":"Kai Chuan","non-dropping-particle":"","parse-names":false,"suffix":""},{"dropping-particle":"","family":"Schmuck","given":"Kianga","non-dropping-particle":"","parse-names":false,"suffix":""},{"dropping-particle":"","family":"Tietze","given":"Lutz F.","non-dropping-particle":"","parse-names":false,"suffix":""},{"dropping-particle":"","family":"Roffler","given":"Steve R.","non-dropping-particle":"","parse-names":false,"suffix":""}],"container-title":"Molecular Pharmaceutics","id":"ITEM-1","issue":"5","issued":{"date-parts":[["2013"]]},"page":"1773-1782","title":"Selective cancer therapy by extracellular activation of a highly potent glycosidic duocarmycin analogue","type":"article-journal","volume":"10"},"uris":["http://www.mendeley.com/documents/?uuid=48306d76-c597-4e63-b749-ea07d469ae4e"]}],"mendeley":{"formattedCitation":"[2]","plainTextFormattedCitation":"[2]","previouslyFormattedCitation":"[2]"},"properties":{"noteIndex":0},"schema":"https://github.com/citation-style-language/schema/raw/master/csl-citation.json"}</w:instrText>
      </w:r>
      <w:r w:rsidR="0075152A">
        <w:rPr>
          <w:color w:val="000000"/>
        </w:rPr>
        <w:fldChar w:fldCharType="separate"/>
      </w:r>
      <w:r w:rsidR="0075152A" w:rsidRPr="0075152A">
        <w:rPr>
          <w:noProof/>
          <w:color w:val="000000"/>
        </w:rPr>
        <w:t>[2]</w:t>
      </w:r>
      <w:r w:rsidR="0075152A">
        <w:rPr>
          <w:color w:val="000000"/>
        </w:rPr>
        <w:fldChar w:fldCharType="end"/>
      </w:r>
      <w:r w:rsidR="00747333" w:rsidRPr="00747333">
        <w:rPr>
          <w:color w:val="000000"/>
        </w:rPr>
        <w:t>.</w:t>
      </w:r>
      <w:r w:rsidR="00314E55" w:rsidRPr="00314E55">
        <w:rPr>
          <w:color w:val="000000"/>
        </w:rPr>
        <w:t xml:space="preserve"> </w:t>
      </w:r>
      <w:r w:rsidR="00BE610E">
        <w:rPr>
          <w:color w:val="000000"/>
        </w:rPr>
        <w:t>Налич</w:t>
      </w:r>
      <w:r w:rsidR="007947AB">
        <w:rPr>
          <w:color w:val="000000"/>
        </w:rPr>
        <w:t>ие сахара в структуре препарата</w:t>
      </w:r>
      <w:r w:rsidR="00BE610E">
        <w:rPr>
          <w:color w:val="000000"/>
        </w:rPr>
        <w:t xml:space="preserve"> повышает его </w:t>
      </w:r>
      <w:r w:rsidR="007947AB">
        <w:rPr>
          <w:color w:val="000000"/>
        </w:rPr>
        <w:t>биодоступность, но в то же время</w:t>
      </w:r>
      <w:r w:rsidR="00BE610E">
        <w:rPr>
          <w:color w:val="000000"/>
        </w:rPr>
        <w:t xml:space="preserve"> снижает клеточную проницаемость</w:t>
      </w:r>
      <w:r w:rsidR="00BE610E" w:rsidRPr="00BE610E">
        <w:rPr>
          <w:color w:val="000000"/>
        </w:rPr>
        <w:t xml:space="preserve"> </w:t>
      </w:r>
      <w:r w:rsidR="00BE610E">
        <w:rPr>
          <w:color w:val="000000"/>
        </w:rPr>
        <w:t>здоровых</w:t>
      </w:r>
      <w:r w:rsidR="007947AB">
        <w:rPr>
          <w:color w:val="000000"/>
        </w:rPr>
        <w:t xml:space="preserve"> тканей, что позволяет достичь селективности в отношении раковых клеток</w:t>
      </w:r>
      <w:r w:rsidR="00BE610E">
        <w:rPr>
          <w:color w:val="000000"/>
        </w:rPr>
        <w:t>.</w:t>
      </w:r>
    </w:p>
    <w:p w14:paraId="38DD4C4A" w14:textId="3328B340" w:rsidR="00E93343" w:rsidRPr="00314E55" w:rsidRDefault="00E93343" w:rsidP="00197230">
      <w:pPr>
        <w:pBdr>
          <w:top w:val="nil"/>
          <w:left w:val="nil"/>
          <w:bottom w:val="nil"/>
          <w:right w:val="nil"/>
          <w:between w:val="nil"/>
        </w:pBdr>
        <w:shd w:val="clear" w:color="auto" w:fill="FFFFFF"/>
        <w:ind w:firstLine="397"/>
        <w:jc w:val="both"/>
        <w:rPr>
          <w:color w:val="000000"/>
        </w:rPr>
      </w:pPr>
      <w:r>
        <w:rPr>
          <w:rFonts w:eastAsia="Calibri"/>
          <w:noProof/>
          <w:sz w:val="28"/>
        </w:rPr>
        <w:drawing>
          <wp:anchor distT="0" distB="0" distL="114300" distR="114300" simplePos="0" relativeHeight="251659264" behindDoc="0" locked="0" layoutInCell="1" allowOverlap="1" wp14:anchorId="421AF841" wp14:editId="3DC36B33">
            <wp:simplePos x="0" y="0"/>
            <wp:positionH relativeFrom="margin">
              <wp:align>center</wp:align>
            </wp:positionH>
            <wp:positionV relativeFrom="paragraph">
              <wp:posOffset>537210</wp:posOffset>
            </wp:positionV>
            <wp:extent cx="4998720" cy="28841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7" t="1411" r="1635" b="2842"/>
                    <a:stretch/>
                  </pic:blipFill>
                  <pic:spPr bwMode="auto">
                    <a:xfrm>
                      <a:off x="0" y="0"/>
                      <a:ext cx="5009173" cy="28907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3343">
        <w:rPr>
          <w:color w:val="000000"/>
        </w:rPr>
        <w:t xml:space="preserve">В своей работе мы предлагаем </w:t>
      </w:r>
      <w:r>
        <w:rPr>
          <w:color w:val="000000"/>
        </w:rPr>
        <w:t>использование прекурсоров алкильных радикалов – алкоксиаминов – в качестве химической основы</w:t>
      </w:r>
      <w:r w:rsidRPr="00E93343">
        <w:rPr>
          <w:color w:val="000000"/>
        </w:rPr>
        <w:t xml:space="preserve"> </w:t>
      </w:r>
      <w:r>
        <w:rPr>
          <w:color w:val="000000"/>
        </w:rPr>
        <w:t xml:space="preserve">гликозилированных </w:t>
      </w:r>
      <w:r w:rsidRPr="00E93343">
        <w:rPr>
          <w:color w:val="000000"/>
        </w:rPr>
        <w:t>пролекарственн</w:t>
      </w:r>
      <w:r>
        <w:rPr>
          <w:color w:val="000000"/>
        </w:rPr>
        <w:t>ых препаратов.</w:t>
      </w:r>
      <w:r w:rsidRPr="00E93343">
        <w:rPr>
          <w:color w:val="000000"/>
        </w:rPr>
        <w:t xml:space="preserve"> </w:t>
      </w:r>
      <w:bookmarkStart w:id="0" w:name="_GoBack"/>
      <w:bookmarkEnd w:id="0"/>
    </w:p>
    <w:p w14:paraId="63A1B65B" w14:textId="4B9145A1" w:rsidR="008017A8" w:rsidRDefault="0075152A" w:rsidP="00197230">
      <w:pPr>
        <w:jc w:val="center"/>
      </w:pPr>
      <w:r>
        <w:rPr>
          <w:i/>
        </w:rPr>
        <w:t>Рис</w:t>
      </w:r>
      <w:r w:rsidR="008017A8">
        <w:rPr>
          <w:i/>
        </w:rPr>
        <w:t xml:space="preserve"> 1</w:t>
      </w:r>
      <w:r w:rsidR="008017A8" w:rsidRPr="00E3106A">
        <w:rPr>
          <w:i/>
        </w:rPr>
        <w:t>.</w:t>
      </w:r>
      <w:r w:rsidR="008017A8" w:rsidRPr="00E3106A">
        <w:t xml:space="preserve"> </w:t>
      </w:r>
      <w:r w:rsidR="008017A8">
        <w:t>Механизм активации пролекарства на основе гликозилированного алкоксиамина.</w:t>
      </w:r>
    </w:p>
    <w:p w14:paraId="12D0A2DD" w14:textId="08B9C679" w:rsidR="0075152A" w:rsidRDefault="00E93343" w:rsidP="00197230">
      <w:pPr>
        <w:ind w:firstLine="397"/>
        <w:jc w:val="both"/>
      </w:pPr>
      <w:r>
        <w:t>В</w:t>
      </w:r>
      <w:r w:rsidRPr="00E93343">
        <w:t xml:space="preserve"> результате </w:t>
      </w:r>
      <w:r>
        <w:t>гомолиза</w:t>
      </w:r>
      <w:r w:rsidRPr="00E93343">
        <w:t xml:space="preserve"> </w:t>
      </w:r>
      <w:r>
        <w:t>слабой ковалентной</w:t>
      </w:r>
      <w:r w:rsidRPr="00E93343">
        <w:t xml:space="preserve"> связи C-ON</w:t>
      </w:r>
      <w:r>
        <w:t xml:space="preserve"> алкоксиамины</w:t>
      </w:r>
      <w:r w:rsidRPr="00E93343">
        <w:t xml:space="preserve"> генерируют два вида радикалов: стабильный </w:t>
      </w:r>
      <w:r w:rsidR="00197230">
        <w:t>нитроксильный</w:t>
      </w:r>
      <w:r w:rsidRPr="00E93343">
        <w:t xml:space="preserve"> и активный алкильный радикал, </w:t>
      </w:r>
      <w:r>
        <w:t xml:space="preserve">который </w:t>
      </w:r>
      <w:r w:rsidRPr="00E93343">
        <w:t>выступа</w:t>
      </w:r>
      <w:r>
        <w:t>ет</w:t>
      </w:r>
      <w:r w:rsidRPr="00E93343">
        <w:t xml:space="preserve"> в роли цитостатика.</w:t>
      </w:r>
      <w:r w:rsidR="0075152A">
        <w:t xml:space="preserve"> </w:t>
      </w:r>
      <w:r w:rsidR="0075152A" w:rsidRPr="0075152A">
        <w:t>Специфичный сахар в структуре вещества должен обеспечить не только селективное высвобождение цитостатика, но избирательность поглощения субстрата раковыми клетками</w:t>
      </w:r>
      <w:r w:rsidR="0075152A">
        <w:t>.</w:t>
      </w:r>
    </w:p>
    <w:p w14:paraId="343E8330" w14:textId="6904A158" w:rsidR="0075152A" w:rsidRDefault="0075152A" w:rsidP="00197230">
      <w:pPr>
        <w:ind w:firstLine="397"/>
        <w:jc w:val="both"/>
        <w:rPr>
          <w:i/>
          <w:iCs/>
          <w:color w:val="000000"/>
        </w:rPr>
      </w:pPr>
      <w:r w:rsidRPr="00013419">
        <w:rPr>
          <w:i/>
          <w:iCs/>
          <w:color w:val="000000"/>
        </w:rPr>
        <w:t>Работа выполнена при финансовой поддержке гранта Российского научного фонда №</w:t>
      </w:r>
      <w:r>
        <w:rPr>
          <w:i/>
          <w:iCs/>
          <w:color w:val="000000"/>
        </w:rPr>
        <w:t> </w:t>
      </w:r>
      <w:r w:rsidRPr="00013419">
        <w:rPr>
          <w:i/>
          <w:iCs/>
          <w:color w:val="000000"/>
        </w:rPr>
        <w:t xml:space="preserve">24-73-10026, </w:t>
      </w:r>
      <w:hyperlink r:id="rId9" w:history="1">
        <w:r w:rsidRPr="006522E8">
          <w:rPr>
            <w:rStyle w:val="a9"/>
            <w:i/>
            <w:iCs/>
          </w:rPr>
          <w:t>https://rscf.ru/project/24-73-10026/</w:t>
        </w:r>
      </w:hyperlink>
      <w:r w:rsidRPr="00013419">
        <w:rPr>
          <w:i/>
          <w:iCs/>
          <w:color w:val="000000"/>
        </w:rPr>
        <w:t>.</w:t>
      </w:r>
    </w:p>
    <w:p w14:paraId="50BD9D6C" w14:textId="154D270E" w:rsidR="0075152A" w:rsidRPr="0075152A" w:rsidRDefault="0075152A" w:rsidP="00197230">
      <w:pPr>
        <w:jc w:val="center"/>
      </w:pPr>
      <w:r>
        <w:rPr>
          <w:b/>
          <w:color w:val="000000"/>
        </w:rPr>
        <w:t>Литература</w:t>
      </w:r>
    </w:p>
    <w:p w14:paraId="0FB0E790" w14:textId="22CB737D" w:rsidR="0075152A" w:rsidRPr="0075152A" w:rsidRDefault="0075152A" w:rsidP="00197230">
      <w:pPr>
        <w:widowControl w:val="0"/>
        <w:autoSpaceDE w:val="0"/>
        <w:autoSpaceDN w:val="0"/>
        <w:adjustRightInd w:val="0"/>
        <w:ind w:left="640" w:hanging="640"/>
        <w:rPr>
          <w:noProof/>
        </w:rPr>
      </w:pPr>
      <w:r>
        <w:rPr>
          <w:color w:val="000000"/>
        </w:rPr>
        <w:fldChar w:fldCharType="begin" w:fldLock="1"/>
      </w:r>
      <w:r>
        <w:rPr>
          <w:color w:val="000000"/>
        </w:rPr>
        <w:instrText xml:space="preserve">ADDIN Mendeley Bibliography CSL_BIBLIOGRAPHY </w:instrText>
      </w:r>
      <w:r>
        <w:rPr>
          <w:color w:val="000000"/>
        </w:rPr>
        <w:fldChar w:fldCharType="separate"/>
      </w:r>
      <w:r w:rsidRPr="0075152A">
        <w:rPr>
          <w:noProof/>
        </w:rPr>
        <w:t>1.</w:t>
      </w:r>
      <w:r w:rsidRPr="0075152A">
        <w:rPr>
          <w:noProof/>
        </w:rPr>
        <w:tab/>
        <w:t>Martin H. et al. Glycosidase activated prodrugs for targeted cancer therapy // Chem. Soc. Rev. 2022. Vol. 51, № 23. P. 9694–9716.</w:t>
      </w:r>
    </w:p>
    <w:p w14:paraId="10B045F9" w14:textId="77777777" w:rsidR="0075152A" w:rsidRPr="0075152A" w:rsidRDefault="0075152A" w:rsidP="00197230">
      <w:pPr>
        <w:widowControl w:val="0"/>
        <w:autoSpaceDE w:val="0"/>
        <w:autoSpaceDN w:val="0"/>
        <w:adjustRightInd w:val="0"/>
        <w:ind w:left="640" w:hanging="640"/>
        <w:rPr>
          <w:noProof/>
        </w:rPr>
      </w:pPr>
      <w:r w:rsidRPr="0075152A">
        <w:rPr>
          <w:noProof/>
        </w:rPr>
        <w:t>2.</w:t>
      </w:r>
      <w:r w:rsidRPr="0075152A">
        <w:rPr>
          <w:noProof/>
        </w:rPr>
        <w:tab/>
        <w:t>Chen K.C. et al. Selective cancer therapy by extracellular activation of a highly potent glycosidic duocarmycin analogue // Mol. Pharm. 2013. Vol. 10, № 5. P. 1773–1782.</w:t>
      </w:r>
    </w:p>
    <w:p w14:paraId="3606F4B6" w14:textId="2D0A398B" w:rsidR="00013419" w:rsidRPr="00797838" w:rsidRDefault="0075152A" w:rsidP="00197230">
      <w:pPr>
        <w:pBdr>
          <w:top w:val="nil"/>
          <w:left w:val="nil"/>
          <w:bottom w:val="nil"/>
          <w:right w:val="nil"/>
          <w:between w:val="nil"/>
        </w:pBdr>
        <w:shd w:val="clear" w:color="auto" w:fill="FFFFFF"/>
        <w:jc w:val="both"/>
        <w:rPr>
          <w:color w:val="000000"/>
        </w:rPr>
      </w:pPr>
      <w:r>
        <w:rPr>
          <w:color w:val="000000"/>
        </w:rPr>
        <w:fldChar w:fldCharType="end"/>
      </w:r>
    </w:p>
    <w:sectPr w:rsidR="00013419" w:rsidRPr="0079783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41"/>
    <w:rsid w:val="00013419"/>
    <w:rsid w:val="00063966"/>
    <w:rsid w:val="00075D6E"/>
    <w:rsid w:val="00086081"/>
    <w:rsid w:val="0009449A"/>
    <w:rsid w:val="00094FD0"/>
    <w:rsid w:val="000E334E"/>
    <w:rsid w:val="00101A1C"/>
    <w:rsid w:val="00103657"/>
    <w:rsid w:val="00106375"/>
    <w:rsid w:val="00107AA3"/>
    <w:rsid w:val="00116478"/>
    <w:rsid w:val="00130241"/>
    <w:rsid w:val="00197230"/>
    <w:rsid w:val="001E61C2"/>
    <w:rsid w:val="001F0493"/>
    <w:rsid w:val="001F71DF"/>
    <w:rsid w:val="0022260A"/>
    <w:rsid w:val="002264EE"/>
    <w:rsid w:val="0023307C"/>
    <w:rsid w:val="00277DFA"/>
    <w:rsid w:val="0031361E"/>
    <w:rsid w:val="00314E55"/>
    <w:rsid w:val="00391C38"/>
    <w:rsid w:val="003B76D6"/>
    <w:rsid w:val="003E2601"/>
    <w:rsid w:val="003F1B7B"/>
    <w:rsid w:val="003F4E6B"/>
    <w:rsid w:val="004A26A3"/>
    <w:rsid w:val="004F0EDF"/>
    <w:rsid w:val="00522BF1"/>
    <w:rsid w:val="00590166"/>
    <w:rsid w:val="005D022B"/>
    <w:rsid w:val="005E5BE9"/>
    <w:rsid w:val="0069427D"/>
    <w:rsid w:val="006F7A19"/>
    <w:rsid w:val="007213E1"/>
    <w:rsid w:val="00734656"/>
    <w:rsid w:val="00747333"/>
    <w:rsid w:val="0075152A"/>
    <w:rsid w:val="00775389"/>
    <w:rsid w:val="007947AB"/>
    <w:rsid w:val="00797838"/>
    <w:rsid w:val="007C36D8"/>
    <w:rsid w:val="007F2744"/>
    <w:rsid w:val="008017A8"/>
    <w:rsid w:val="0082778D"/>
    <w:rsid w:val="008931BE"/>
    <w:rsid w:val="008C67E3"/>
    <w:rsid w:val="00914205"/>
    <w:rsid w:val="00921D45"/>
    <w:rsid w:val="009426C0"/>
    <w:rsid w:val="00980A65"/>
    <w:rsid w:val="009A66DB"/>
    <w:rsid w:val="009B2F80"/>
    <w:rsid w:val="009B3300"/>
    <w:rsid w:val="009F3380"/>
    <w:rsid w:val="00A02163"/>
    <w:rsid w:val="00A23F58"/>
    <w:rsid w:val="00A314FE"/>
    <w:rsid w:val="00AD7380"/>
    <w:rsid w:val="00AE07F3"/>
    <w:rsid w:val="00BE610E"/>
    <w:rsid w:val="00BF36F8"/>
    <w:rsid w:val="00BF4622"/>
    <w:rsid w:val="00C844E2"/>
    <w:rsid w:val="00CD00B1"/>
    <w:rsid w:val="00D22306"/>
    <w:rsid w:val="00D42542"/>
    <w:rsid w:val="00D8121C"/>
    <w:rsid w:val="00E22189"/>
    <w:rsid w:val="00E74069"/>
    <w:rsid w:val="00E81D35"/>
    <w:rsid w:val="00E93343"/>
    <w:rsid w:val="00EB1F49"/>
    <w:rsid w:val="00F865B3"/>
    <w:rsid w:val="00FB0CCC"/>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Revision"/>
    <w:hidden/>
    <w:uiPriority w:val="99"/>
    <w:semiHidden/>
    <w:rsid w:val="00AD7380"/>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1F71DF"/>
    <w:rPr>
      <w:rFonts w:ascii="Tahoma" w:hAnsi="Tahoma" w:cs="Tahoma"/>
      <w:sz w:val="16"/>
      <w:szCs w:val="16"/>
    </w:rPr>
  </w:style>
  <w:style w:type="character" w:customStyle="1" w:styleId="ac">
    <w:name w:val="Текст выноски Знак"/>
    <w:basedOn w:val="a0"/>
    <w:link w:val="ab"/>
    <w:uiPriority w:val="99"/>
    <w:semiHidden/>
    <w:rsid w:val="001F71DF"/>
    <w:rPr>
      <w:rFonts w:ascii="Tahoma" w:eastAsia="Times New Roman" w:hAnsi="Tahoma" w:cs="Tahoma"/>
      <w:sz w:val="16"/>
      <w:szCs w:val="16"/>
    </w:rPr>
  </w:style>
  <w:style w:type="character" w:styleId="ad">
    <w:name w:val="FollowedHyperlink"/>
    <w:basedOn w:val="a0"/>
    <w:uiPriority w:val="99"/>
    <w:semiHidden/>
    <w:unhideWhenUsed/>
    <w:rsid w:val="000134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Revision"/>
    <w:hidden/>
    <w:uiPriority w:val="99"/>
    <w:semiHidden/>
    <w:rsid w:val="00AD7380"/>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1F71DF"/>
    <w:rPr>
      <w:rFonts w:ascii="Tahoma" w:hAnsi="Tahoma" w:cs="Tahoma"/>
      <w:sz w:val="16"/>
      <w:szCs w:val="16"/>
    </w:rPr>
  </w:style>
  <w:style w:type="character" w:customStyle="1" w:styleId="ac">
    <w:name w:val="Текст выноски Знак"/>
    <w:basedOn w:val="a0"/>
    <w:link w:val="ab"/>
    <w:uiPriority w:val="99"/>
    <w:semiHidden/>
    <w:rsid w:val="001F71DF"/>
    <w:rPr>
      <w:rFonts w:ascii="Tahoma" w:eastAsia="Times New Roman" w:hAnsi="Tahoma" w:cs="Tahoma"/>
      <w:sz w:val="16"/>
      <w:szCs w:val="16"/>
    </w:rPr>
  </w:style>
  <w:style w:type="character" w:styleId="ad">
    <w:name w:val="FollowedHyperlink"/>
    <w:basedOn w:val="a0"/>
    <w:uiPriority w:val="99"/>
    <w:semiHidden/>
    <w:unhideWhenUsed/>
    <w:rsid w:val="00013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yak35@tp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scf.ru/project/24-73-1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2836-8F4E-4A59-9450-107424B3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Юлиана</dc:creator>
  <cp:lastModifiedBy>Юлиана</cp:lastModifiedBy>
  <cp:revision>2</cp:revision>
  <dcterms:created xsi:type="dcterms:W3CDTF">2025-03-09T14:12:00Z</dcterms:created>
  <dcterms:modified xsi:type="dcterms:W3CDTF">2025-03-09T14:12:00Z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6c057e46-4efe-3a69-9a30-49b7cbbf4a24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