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1DF55">
      <w:pPr>
        <w:shd w:val="clear" w:color="auto" w:fill="FFFFFF"/>
        <w:spacing w:after="0" w:line="240" w:lineRule="auto"/>
        <w:jc w:val="center"/>
        <w:rPr>
          <w:rFonts w:ascii="Times New Roman" w:hAnsi="Times New Roman" w:eastAsia="Times New Roman" w:cs="Times New Roman"/>
          <w:b/>
          <w:color w:val="000000"/>
          <w:kern w:val="0"/>
          <w:sz w:val="24"/>
          <w:szCs w:val="24"/>
          <w:lang w:val="en-US" w:eastAsia="ru-RU"/>
          <w14:ligatures w14:val="none"/>
        </w:rPr>
      </w:pPr>
      <w:bookmarkStart w:id="3" w:name="_GoBack"/>
      <w:bookmarkStart w:id="0" w:name="_Hlk191769043"/>
      <w:bookmarkStart w:id="1" w:name="_Toc159673003"/>
      <w:r>
        <w:rPr>
          <w:rFonts w:ascii="Times New Roman" w:hAnsi="Times New Roman" w:eastAsia="Times New Roman" w:cs="Times New Roman"/>
          <w:b/>
          <w:color w:val="000000"/>
          <w:kern w:val="0"/>
          <w:sz w:val="24"/>
          <w:szCs w:val="24"/>
          <w:lang w:val="en-US" w:eastAsia="ru-RU"/>
          <w14:ligatures w14:val="none"/>
        </w:rPr>
        <w:t>Clay-based matrices for chloride- and fluoride-containing radioactive wastes</w:t>
      </w:r>
    </w:p>
    <w:bookmarkEnd w:id="3"/>
    <w:p w14:paraId="7841A6FA">
      <w:pPr>
        <w:shd w:val="clear" w:color="auto" w:fill="FFFFFF"/>
        <w:spacing w:after="0" w:line="240" w:lineRule="auto"/>
        <w:jc w:val="center"/>
        <w:rPr>
          <w:rFonts w:ascii="Times New Roman" w:hAnsi="Times New Roman" w:eastAsia="Times New Roman" w:cs="Times New Roman"/>
          <w:b/>
          <w:bCs/>
          <w:i/>
          <w:color w:val="000000"/>
          <w:kern w:val="0"/>
          <w:sz w:val="24"/>
          <w:szCs w:val="24"/>
          <w:vertAlign w:val="superscript"/>
          <w:lang w:val="en-US" w:eastAsia="ru-RU"/>
          <w14:ligatures w14:val="none"/>
        </w:rPr>
      </w:pPr>
      <w:r>
        <w:rPr>
          <w:rFonts w:ascii="Times New Roman" w:hAnsi="Times New Roman" w:eastAsia="Times New Roman" w:cs="Times New Roman"/>
          <w:b/>
          <w:bCs/>
          <w:i/>
          <w:color w:val="000000"/>
          <w:kern w:val="0"/>
          <w:sz w:val="24"/>
          <w:szCs w:val="24"/>
          <w:lang w:val="en-US" w:eastAsia="ru-RU"/>
          <w14:ligatures w14:val="none"/>
        </w:rPr>
        <w:t>Y. Yihang</w:t>
      </w:r>
      <w:r>
        <w:rPr>
          <w:rFonts w:hint="eastAsia" w:ascii="Times New Roman" w:hAnsi="Times New Roman" w:eastAsia="宋体" w:cs="Times New Roman"/>
          <w:b/>
          <w:bCs/>
          <w:i/>
          <w:color w:val="000000"/>
          <w:kern w:val="0"/>
          <w:sz w:val="24"/>
          <w:szCs w:val="24"/>
          <w:lang w:val="en-US" w:eastAsia="zh-CN"/>
          <w14:ligatures w14:val="none"/>
        </w:rPr>
        <w:t>,</w:t>
      </w:r>
      <w:r>
        <w:rPr>
          <w:rFonts w:ascii="Times New Roman" w:hAnsi="Times New Roman" w:eastAsia="宋体" w:cs="Times New Roman"/>
          <w:b/>
          <w:bCs/>
          <w:i/>
          <w:color w:val="000000"/>
          <w:kern w:val="0"/>
          <w:sz w:val="24"/>
          <w:szCs w:val="24"/>
          <w:lang w:val="en-US" w:eastAsia="zh-CN"/>
          <w14:ligatures w14:val="none"/>
        </w:rPr>
        <w:t xml:space="preserve"> </w:t>
      </w:r>
      <w:r>
        <w:rPr>
          <w:rFonts w:hint="eastAsia" w:ascii="Times New Roman" w:hAnsi="Times New Roman" w:eastAsia="宋体" w:cs="Times New Roman"/>
          <w:b/>
          <w:bCs/>
          <w:i/>
          <w:color w:val="000000"/>
          <w:kern w:val="0"/>
          <w:sz w:val="24"/>
          <w:szCs w:val="24"/>
          <w:lang w:val="en-US" w:eastAsia="zh-CN"/>
          <w14:ligatures w14:val="none"/>
        </w:rPr>
        <w:t>A.</w:t>
      </w:r>
      <w:r>
        <w:rPr>
          <w:rFonts w:ascii="Times New Roman" w:hAnsi="Times New Roman" w:eastAsia="Times New Roman" w:cs="Times New Roman"/>
          <w:b/>
          <w:bCs/>
          <w:i/>
          <w:color w:val="000000"/>
          <w:kern w:val="0"/>
          <w:sz w:val="24"/>
          <w:szCs w:val="24"/>
          <w:lang w:val="en-US" w:eastAsia="ru-RU"/>
          <w14:ligatures w14:val="none"/>
        </w:rPr>
        <w:t>V. Matveenko, A.A. Basova</w:t>
      </w:r>
    </w:p>
    <w:p w14:paraId="09AFC2A1">
      <w:pPr>
        <w:shd w:val="clear" w:color="auto" w:fill="FFFFFF"/>
        <w:spacing w:after="0" w:line="240" w:lineRule="auto"/>
        <w:jc w:val="center"/>
        <w:rPr>
          <w:rFonts w:ascii="Times New Roman" w:hAnsi="Times New Roman" w:eastAsia="Times New Roman" w:cs="Times New Roman"/>
          <w:color w:val="000000"/>
          <w:kern w:val="0"/>
          <w:sz w:val="24"/>
          <w:szCs w:val="24"/>
          <w:lang w:val="en-US" w:eastAsia="ru-RU"/>
          <w14:ligatures w14:val="none"/>
        </w:rPr>
      </w:pPr>
      <w:r>
        <w:rPr>
          <w:rFonts w:ascii="Times New Roman" w:hAnsi="Times New Roman" w:eastAsia="Times New Roman" w:cs="Times New Roman"/>
          <w:i/>
          <w:color w:val="000000"/>
          <w:kern w:val="0"/>
          <w:sz w:val="24"/>
          <w:szCs w:val="24"/>
          <w:lang w:val="en-US" w:eastAsia="ru-RU"/>
          <w14:ligatures w14:val="none"/>
        </w:rPr>
        <w:t xml:space="preserve">Master's student, second year </w:t>
      </w:r>
    </w:p>
    <w:p w14:paraId="36CA4D11">
      <w:pPr>
        <w:shd w:val="clear" w:color="auto" w:fill="FFFFFF"/>
        <w:spacing w:after="0" w:line="240" w:lineRule="auto"/>
        <w:jc w:val="center"/>
        <w:rPr>
          <w:rFonts w:ascii="Times New Roman" w:hAnsi="Times New Roman" w:eastAsia="Times New Roman" w:cs="Times New Roman"/>
          <w:bCs/>
          <w:i/>
          <w:color w:val="000000"/>
          <w:kern w:val="0"/>
          <w:sz w:val="24"/>
          <w:szCs w:val="24"/>
          <w:lang w:val="en-US" w:eastAsia="ru-RU"/>
          <w14:ligatures w14:val="none"/>
        </w:rPr>
      </w:pPr>
      <w:r>
        <w:rPr>
          <w:rFonts w:ascii="Times New Roman" w:hAnsi="Times New Roman" w:eastAsia="Times New Roman" w:cs="Times New Roman"/>
          <w:bCs/>
          <w:i/>
          <w:color w:val="000000"/>
          <w:kern w:val="0"/>
          <w:sz w:val="24"/>
          <w:szCs w:val="24"/>
          <w:lang w:val="en-US" w:eastAsia="ru-RU"/>
          <w14:ligatures w14:val="none"/>
        </w:rPr>
        <w:t>Department of Chemistry, Lomonosov Moscow State University, Moscow , Russia;</w:t>
      </w:r>
    </w:p>
    <w:p w14:paraId="240AF6FE">
      <w:pPr>
        <w:shd w:val="clear" w:color="auto" w:fill="FFFFFF"/>
        <w:spacing w:after="0" w:line="240" w:lineRule="auto"/>
        <w:jc w:val="center"/>
        <w:rPr>
          <w:rFonts w:hint="default" w:ascii="Times New Roman" w:hAnsi="Times New Roman" w:cs="Times New Roman"/>
          <w:i/>
          <w:color w:val="000000"/>
          <w:kern w:val="0"/>
          <w:sz w:val="24"/>
          <w:szCs w:val="24"/>
          <w:lang w:val="en-US" w:eastAsia="zh-CN"/>
          <w14:ligatures w14:val="none"/>
        </w:rPr>
      </w:pPr>
      <w:r>
        <w:rPr>
          <w:rFonts w:ascii="Times New Roman" w:hAnsi="Times New Roman" w:eastAsia="Times New Roman" w:cs="Times New Roman"/>
          <w:i/>
          <w:color w:val="000000"/>
          <w:kern w:val="0"/>
          <w:sz w:val="24"/>
          <w:szCs w:val="24"/>
          <w:lang w:val="en-US" w:eastAsia="ru-RU"/>
          <w14:ligatures w14:val="none"/>
        </w:rPr>
        <w:t>E-mail</w:t>
      </w:r>
      <w:r>
        <w:rPr>
          <w:rFonts w:hint="eastAsia" w:ascii="Times New Roman" w:hAnsi="Times New Roman" w:eastAsia="宋体" w:cs="Times New Roman"/>
          <w:i/>
          <w:color w:val="000000"/>
          <w:kern w:val="0"/>
          <w:sz w:val="24"/>
          <w:szCs w:val="24"/>
          <w:lang w:val="en-US" w:eastAsia="zh-CN"/>
          <w14:ligatures w14:val="none"/>
        </w:rPr>
        <w:t>:</w:t>
      </w:r>
      <w:r>
        <w:rPr>
          <w:rFonts w:ascii="Times New Roman" w:hAnsi="Times New Roman" w:cs="Times New Roman"/>
          <w:i/>
          <w:color w:val="000000"/>
          <w:kern w:val="0"/>
          <w:sz w:val="24"/>
          <w:szCs w:val="24"/>
          <w:lang w:val="en-US" w:eastAsia="zh-CN"/>
          <w14:ligatures w14:val="none"/>
        </w:rPr>
        <w:t xml:space="preserve"> </w:t>
      </w:r>
      <w:r>
        <w:fldChar w:fldCharType="begin"/>
      </w:r>
      <w:r>
        <w:instrText xml:space="preserve"> HYPERLINK "mailto:hnzmdyyh@yeah.net" </w:instrText>
      </w:r>
      <w:r>
        <w:fldChar w:fldCharType="separate"/>
      </w:r>
      <w:r>
        <w:rPr>
          <w:rStyle w:val="21"/>
          <w:rFonts w:hint="eastAsia" w:ascii="Times New Roman" w:hAnsi="Times New Roman" w:cs="Times New Roman"/>
          <w:i/>
          <w:kern w:val="0"/>
          <w:sz w:val="24"/>
          <w:szCs w:val="24"/>
          <w:lang w:val="en-US" w:eastAsia="zh-CN"/>
          <w14:ligatures w14:val="none"/>
        </w:rPr>
        <w:t>hnzmdyyh@yeah.net</w:t>
      </w:r>
      <w:r>
        <w:rPr>
          <w:rStyle w:val="21"/>
          <w:rFonts w:hint="eastAsia" w:ascii="Times New Roman" w:hAnsi="Times New Roman" w:cs="Times New Roman"/>
          <w:i/>
          <w:kern w:val="0"/>
          <w:sz w:val="24"/>
          <w:szCs w:val="24"/>
          <w:lang w:val="en-US" w:eastAsia="zh-CN"/>
          <w14:ligatures w14:val="none"/>
        </w:rPr>
        <w:fldChar w:fldCharType="end"/>
      </w:r>
      <w:r>
        <w:rPr>
          <w:rStyle w:val="21"/>
          <w:rFonts w:hint="default" w:ascii="Times New Roman" w:hAnsi="Times New Roman" w:cs="Times New Roman"/>
          <w:i/>
          <w:kern w:val="0"/>
          <w:sz w:val="24"/>
          <w:szCs w:val="24"/>
          <w:lang w:val="en-US" w:eastAsia="zh-CN"/>
          <w14:ligatures w14:val="none"/>
        </w:rPr>
        <w:t xml:space="preserve"> </w:t>
      </w:r>
    </w:p>
    <w:bookmarkEnd w:id="0"/>
    <w:bookmarkEnd w:id="1"/>
    <w:p w14:paraId="53B23DEC">
      <w:pPr>
        <w:shd w:val="clear" w:color="auto" w:fill="FFFFFF"/>
        <w:spacing w:after="0" w:line="240" w:lineRule="auto"/>
        <w:ind w:firstLine="397"/>
        <w:jc w:val="both"/>
        <w:rPr>
          <w:rFonts w:ascii="Times New Roman" w:hAnsi="Times New Roman" w:eastAsia="宋体" w:cs="Times New Roman"/>
          <w:color w:val="000000"/>
          <w:kern w:val="0"/>
          <w:sz w:val="24"/>
          <w:szCs w:val="24"/>
          <w:lang w:val="en-US" w:eastAsia="zh-CN"/>
          <w14:ligatures w14:val="none"/>
        </w:rPr>
      </w:pPr>
      <w:r>
        <w:rPr>
          <w:rFonts w:ascii="Times New Roman" w:hAnsi="Times New Roman" w:eastAsia="宋体" w:cs="Times New Roman"/>
          <w:color w:val="000000"/>
          <w:kern w:val="0"/>
          <w:sz w:val="24"/>
          <w:szCs w:val="24"/>
          <w:lang w:val="en-US" w:eastAsia="zh-CN"/>
          <w14:ligatures w14:val="none"/>
        </w:rPr>
        <w:t>Closure of the nuclear fuel cycle is a great issue for nuclear energy nowadays. It enhances sustainability by recovering uranium/plutonium and transmuting minor actinides through spent nuclear fuel (SNF) reprocessing, innovative reactor types and technologies development, but these approaches create complex new waste streams and pose new challenges for radioactive waste management [1].</w:t>
      </w:r>
      <w:r>
        <w:rPr>
          <w:rFonts w:hint="eastAsia" w:ascii="Times New Roman" w:hAnsi="Times New Roman" w:eastAsia="宋体" w:cs="Times New Roman"/>
          <w:color w:val="000000"/>
          <w:kern w:val="0"/>
          <w:sz w:val="24"/>
          <w:szCs w:val="24"/>
          <w:lang w:val="en-US" w:eastAsia="zh-CN"/>
          <w14:ligatures w14:val="none"/>
        </w:rPr>
        <w:t xml:space="preserve"> </w:t>
      </w:r>
      <w:r>
        <w:rPr>
          <w:rFonts w:ascii="Times New Roman" w:hAnsi="Times New Roman" w:eastAsia="宋体" w:cs="Times New Roman"/>
          <w:color w:val="000000"/>
          <w:kern w:val="0"/>
          <w:sz w:val="24"/>
          <w:szCs w:val="24"/>
          <w:lang w:val="en-US" w:eastAsia="zh-CN"/>
          <w14:ligatures w14:val="none"/>
        </w:rPr>
        <w:t>So, the Russian Proryv project suggests</w:t>
      </w:r>
      <w:r>
        <w:rPr>
          <w:rFonts w:hint="eastAsia" w:ascii="Times New Roman" w:hAnsi="Times New Roman" w:eastAsia="宋体" w:cs="Times New Roman"/>
          <w:color w:val="000000"/>
          <w:kern w:val="0"/>
          <w:sz w:val="24"/>
          <w:szCs w:val="24"/>
          <w:lang w:val="en-US" w:eastAsia="zh-CN"/>
          <w14:ligatures w14:val="none"/>
        </w:rPr>
        <w:t xml:space="preserve"> pyrochemical or combined technology</w:t>
      </w:r>
      <w:r>
        <w:rPr>
          <w:rFonts w:ascii="Times New Roman" w:hAnsi="Times New Roman" w:eastAsia="宋体" w:cs="Times New Roman"/>
          <w:color w:val="000000"/>
          <w:kern w:val="0"/>
          <w:sz w:val="24"/>
          <w:szCs w:val="24"/>
          <w:lang w:val="en-US" w:eastAsia="zh-CN"/>
          <w14:ligatures w14:val="none"/>
        </w:rPr>
        <w:t xml:space="preserve"> to reprocess mixed uranium-plutonium nitride SNF from fast neutron reactors (FNR) with the use of LiCl-KCl molten salt electrolytes [2]. FLiNaK as a molten salt medium plays a central role in molten salt reactors (MSR) due to its high efficiency and low cost, and supports efficient and safe reactor operation at high temperatures and low pressures due to its excellent thermal stability and low vapour pressure characteristics [3]. </w:t>
      </w:r>
      <w:bookmarkStart w:id="2" w:name="_Hlk192009231"/>
      <w:r>
        <w:rPr>
          <w:rFonts w:ascii="Times New Roman" w:hAnsi="Times New Roman" w:eastAsia="宋体" w:cs="Times New Roman"/>
          <w:color w:val="000000"/>
          <w:kern w:val="0"/>
          <w:sz w:val="24"/>
          <w:szCs w:val="24"/>
          <w:lang w:val="en-US" w:eastAsia="zh-CN"/>
          <w14:ligatures w14:val="none"/>
        </w:rPr>
        <w:t>As a result, the high-level waste (HLW) generated after such reprocessing contains a large amount of alkali metal chlorides and fluorides. This requires the development of novel immobilization technologies, without which achieving the closed nuclear fuel cycle would be impossible</w:t>
      </w:r>
      <w:r>
        <w:rPr>
          <w:rFonts w:hint="eastAsia" w:ascii="Times New Roman" w:hAnsi="Times New Roman" w:eastAsia="宋体" w:cs="Times New Roman"/>
          <w:color w:val="000000"/>
          <w:kern w:val="0"/>
          <w:sz w:val="24"/>
          <w:szCs w:val="24"/>
          <w:lang w:val="en-US" w:eastAsia="zh-CN"/>
          <w14:ligatures w14:val="none"/>
        </w:rPr>
        <w:t>.</w:t>
      </w:r>
    </w:p>
    <w:bookmarkEnd w:id="2"/>
    <w:p w14:paraId="77FE63CB">
      <w:pPr>
        <w:shd w:val="clear" w:color="auto" w:fill="FFFFFF"/>
        <w:spacing w:after="0" w:line="240" w:lineRule="auto"/>
        <w:ind w:firstLine="397"/>
        <w:jc w:val="both"/>
        <w:rPr>
          <w:rFonts w:ascii="Times New Roman" w:hAnsi="Times New Roman" w:eastAsia="宋体" w:cs="Times New Roman"/>
          <w:iCs/>
          <w:color w:val="000000"/>
          <w:kern w:val="0"/>
          <w:sz w:val="24"/>
          <w:szCs w:val="24"/>
          <w:lang w:val="en-US" w:eastAsia="zh-CN"/>
          <w14:ligatures w14:val="none"/>
        </w:rPr>
      </w:pPr>
      <w:r>
        <w:rPr>
          <w:rFonts w:ascii="Times New Roman" w:hAnsi="Times New Roman" w:eastAsia="宋体" w:cs="Times New Roman"/>
          <w:iCs/>
          <w:color w:val="000000"/>
          <w:kern w:val="0"/>
          <w:sz w:val="24"/>
          <w:szCs w:val="24"/>
          <w:lang w:val="en-US" w:eastAsia="zh-CN"/>
          <w14:ligatures w14:val="none"/>
        </w:rPr>
        <w:t xml:space="preserve">Borosilicate glasses, despite their widespread use for immobilization, have a limited ability to retain such special waste types. Though some kinds of phosphate glasses can hold for example fluoride more effectively and exhibit greater chemical resistance. With regard to chlorides, conventional glass and cement matrices encounter difficulties in effectively immobilizing them, which results in reduced chemical stability and an increased risk of radionuclide release. Conversely, ceramics have demonstrated superior immobilization performance due to their exceptional chemical and thermal stability, as well as mechanical strength. In previous works of our scientific group bentonite clay were investigated </w:t>
      </w:r>
      <w:r>
        <w:rPr>
          <w:rFonts w:hint="eastAsia" w:ascii="Times New Roman" w:hAnsi="Times New Roman" w:eastAsia="宋体" w:cs="Times New Roman"/>
          <w:iCs/>
          <w:color w:val="000000"/>
          <w:kern w:val="0"/>
          <w:sz w:val="24"/>
          <w:szCs w:val="24"/>
          <w:lang w:val="en-US" w:eastAsia="zh-CN"/>
          <w14:ligatures w14:val="none"/>
        </w:rPr>
        <w:t>as matrix materials</w:t>
      </w:r>
      <w:r>
        <w:rPr>
          <w:rFonts w:ascii="Times New Roman" w:hAnsi="Times New Roman" w:eastAsia="宋体" w:cs="Times New Roman"/>
          <w:iCs/>
          <w:color w:val="000000"/>
          <w:kern w:val="0"/>
          <w:sz w:val="24"/>
          <w:szCs w:val="24"/>
          <w:lang w:val="en-US" w:eastAsia="zh-CN"/>
          <w14:ligatures w14:val="none"/>
        </w:rPr>
        <w:t xml:space="preserve"> for spent electrolyte, this </w:t>
      </w:r>
      <w:r>
        <w:rPr>
          <w:rFonts w:hint="eastAsia" w:ascii="Times New Roman" w:hAnsi="Times New Roman" w:eastAsia="宋体" w:cs="Times New Roman"/>
          <w:iCs/>
          <w:color w:val="000000"/>
          <w:kern w:val="0"/>
          <w:sz w:val="24"/>
          <w:szCs w:val="24"/>
          <w:lang w:val="en-US" w:eastAsia="zh-CN"/>
          <w14:ligatures w14:val="none"/>
        </w:rPr>
        <w:t>strategy represents a</w:t>
      </w:r>
      <w:r>
        <w:rPr>
          <w:rFonts w:ascii="Times New Roman" w:hAnsi="Times New Roman" w:eastAsia="宋体" w:cs="Times New Roman"/>
          <w:iCs/>
          <w:color w:val="000000"/>
          <w:kern w:val="0"/>
          <w:sz w:val="24"/>
          <w:szCs w:val="24"/>
          <w:lang w:val="en-US" w:eastAsia="zh-CN"/>
          <w14:ligatures w14:val="none"/>
        </w:rPr>
        <w:t>s</w:t>
      </w:r>
      <w:r>
        <w:rPr>
          <w:rFonts w:hint="eastAsia" w:ascii="Times New Roman" w:hAnsi="Times New Roman" w:eastAsia="宋体" w:cs="Times New Roman"/>
          <w:iCs/>
          <w:color w:val="000000"/>
          <w:kern w:val="0"/>
          <w:sz w:val="24"/>
          <w:szCs w:val="24"/>
          <w:lang w:val="en-US" w:eastAsia="zh-CN"/>
          <w14:ligatures w14:val="none"/>
        </w:rPr>
        <w:t xml:space="preserve"> rational for radioactive waste management</w:t>
      </w:r>
      <w:r>
        <w:rPr>
          <w:rFonts w:ascii="Times New Roman" w:hAnsi="Times New Roman" w:eastAsia="宋体" w:cs="Times New Roman"/>
          <w:iCs/>
          <w:color w:val="000000"/>
          <w:kern w:val="0"/>
          <w:sz w:val="24"/>
          <w:szCs w:val="24"/>
          <w:lang w:val="en-US" w:eastAsia="zh-CN"/>
          <w14:ligatures w14:val="none"/>
        </w:rPr>
        <w:t xml:space="preserve"> [4]</w:t>
      </w:r>
      <w:r>
        <w:rPr>
          <w:rFonts w:hint="eastAsia" w:ascii="Times New Roman" w:hAnsi="Times New Roman" w:eastAsia="宋体" w:cs="Times New Roman"/>
          <w:iCs/>
          <w:color w:val="000000"/>
          <w:kern w:val="0"/>
          <w:sz w:val="24"/>
          <w:szCs w:val="24"/>
          <w:lang w:val="en-US" w:eastAsia="zh-CN"/>
          <w14:ligatures w14:val="none"/>
        </w:rPr>
        <w:t>.</w:t>
      </w:r>
      <w:r>
        <w:rPr>
          <w:rFonts w:ascii="Times New Roman" w:hAnsi="Times New Roman" w:eastAsia="宋体" w:cs="Times New Roman"/>
          <w:iCs/>
          <w:color w:val="000000"/>
          <w:kern w:val="0"/>
          <w:sz w:val="24"/>
          <w:szCs w:val="24"/>
          <w:lang w:val="en-US" w:eastAsia="zh-CN"/>
          <w14:ligatures w14:val="none"/>
        </w:rPr>
        <w:t xml:space="preserve"> A specific percentage of sample compositions, the time-temperature annealing regimes were determined, and ceramic samples were successfully fabricated and characterized.</w:t>
      </w:r>
    </w:p>
    <w:p w14:paraId="74954F22">
      <w:pPr>
        <w:shd w:val="clear" w:color="auto" w:fill="FFFFFF"/>
        <w:spacing w:after="0" w:line="240" w:lineRule="auto"/>
        <w:ind w:firstLine="397"/>
        <w:jc w:val="both"/>
        <w:rPr>
          <w:rFonts w:ascii="Times New Roman" w:hAnsi="Times New Roman" w:eastAsia="宋体" w:cs="Times New Roman"/>
          <w:iCs/>
          <w:color w:val="000000"/>
          <w:kern w:val="0"/>
          <w:sz w:val="24"/>
          <w:szCs w:val="24"/>
          <w:lang w:val="en-US" w:eastAsia="zh-CN"/>
          <w14:ligatures w14:val="none"/>
        </w:rPr>
      </w:pPr>
      <w:r>
        <w:rPr>
          <w:rFonts w:ascii="Times New Roman" w:hAnsi="Times New Roman" w:eastAsia="宋体" w:cs="Times New Roman"/>
          <w:iCs/>
          <w:color w:val="000000"/>
          <w:kern w:val="0"/>
          <w:sz w:val="24"/>
          <w:szCs w:val="24"/>
          <w:lang w:val="en-US" w:eastAsia="zh-CN"/>
          <w14:ligatures w14:val="none"/>
        </w:rPr>
        <w:t xml:space="preserve">In this work three new clays with different chemical and mineralogical compositions were used to prepare samples with radioactive waste imitators. These samples were analyzed for comparison to contrast their capabilities of immobilizing chlorides from </w:t>
      </w:r>
      <w:r>
        <w:rPr>
          <w:rFonts w:ascii="Times New Roman" w:hAnsi="Times New Roman" w:eastAsia="宋体" w:cs="Times New Roman"/>
          <w:color w:val="000000"/>
          <w:kern w:val="0"/>
          <w:sz w:val="24"/>
          <w:szCs w:val="24"/>
          <w:lang w:val="en-US" w:eastAsia="zh-CN"/>
          <w14:ligatures w14:val="none"/>
        </w:rPr>
        <w:t xml:space="preserve">pyrochemical or combined </w:t>
      </w:r>
      <w:r>
        <w:rPr>
          <w:rFonts w:ascii="Times New Roman" w:hAnsi="Times New Roman" w:eastAsia="宋体" w:cs="Times New Roman"/>
          <w:iCs/>
          <w:color w:val="000000"/>
          <w:kern w:val="0"/>
          <w:sz w:val="24"/>
          <w:szCs w:val="24"/>
          <w:lang w:val="en-US" w:eastAsia="zh-CN"/>
          <w14:ligatures w14:val="none"/>
        </w:rPr>
        <w:t xml:space="preserve">FNR </w:t>
      </w:r>
      <w:r>
        <w:rPr>
          <w:rFonts w:ascii="Times New Roman" w:hAnsi="Times New Roman" w:eastAsia="宋体" w:cs="Times New Roman"/>
          <w:color w:val="000000"/>
          <w:kern w:val="0"/>
          <w:sz w:val="24"/>
          <w:szCs w:val="24"/>
          <w:lang w:val="en-US" w:eastAsia="zh-CN"/>
          <w14:ligatures w14:val="none"/>
        </w:rPr>
        <w:t xml:space="preserve">spent fuel reprocessing </w:t>
      </w:r>
      <w:r>
        <w:rPr>
          <w:rFonts w:ascii="Times New Roman" w:hAnsi="Times New Roman" w:eastAsia="宋体" w:cs="Times New Roman"/>
          <w:iCs/>
          <w:color w:val="000000"/>
          <w:kern w:val="0"/>
          <w:sz w:val="24"/>
          <w:szCs w:val="24"/>
          <w:lang w:val="en-US" w:eastAsia="zh-CN"/>
          <w14:ligatures w14:val="none"/>
        </w:rPr>
        <w:t xml:space="preserve">and fluoride electrolytes from MSR. We are focusing on the mechanical strength, thermal and frost stability, phase composition, morphology, leaching and radiation resistance of the obtaining matrix samples. The mechanism of immobilization and the main physico-chemical parameters important for the matrix material are identified using multiscale methods: X-ray diffraction (XRD), inductively coupled plasma spectrometry/mass spectrometry (ICP-OES/MS), scanning electron microscope (SEM) and X-ray fluorescence (XRF). The experiments demonstrate the efficacy of the clay-based samples in immobilizing spent chloride or fluoride electrolyte imitators. Furthermore, the correlation between the immobilization performance and the type of clay minerals is still under investigation. </w:t>
      </w:r>
    </w:p>
    <w:p w14:paraId="211B54D1">
      <w:pPr>
        <w:shd w:val="clear" w:color="auto" w:fill="FFFFFF"/>
        <w:spacing w:after="0" w:line="240" w:lineRule="auto"/>
        <w:ind w:firstLine="397"/>
        <w:jc w:val="both"/>
        <w:rPr>
          <w:rFonts w:ascii="Times New Roman" w:hAnsi="Times New Roman" w:eastAsia="宋体" w:cs="Times New Roman"/>
          <w:iCs/>
          <w:color w:val="000000"/>
          <w:kern w:val="0"/>
          <w:sz w:val="24"/>
          <w:szCs w:val="24"/>
          <w:lang w:val="en-US" w:eastAsia="zh-CN"/>
          <w14:ligatures w14:val="none"/>
        </w:rPr>
      </w:pPr>
    </w:p>
    <w:p w14:paraId="1F09C257">
      <w:pPr>
        <w:shd w:val="clear" w:color="auto" w:fill="FFFFFF"/>
        <w:spacing w:after="0" w:line="240" w:lineRule="auto"/>
        <w:jc w:val="center"/>
        <w:rPr>
          <w:rFonts w:ascii="Times New Roman" w:hAnsi="Times New Roman" w:eastAsia="宋体" w:cs="Times New Roman"/>
          <w:b/>
          <w:bCs/>
          <w:color w:val="000000"/>
          <w:kern w:val="0"/>
          <w:sz w:val="24"/>
          <w:szCs w:val="24"/>
          <w:lang w:val="en-US" w:eastAsia="zh-CN"/>
          <w14:ligatures w14:val="none"/>
        </w:rPr>
      </w:pPr>
      <w:r>
        <w:rPr>
          <w:rFonts w:ascii="Times New Roman" w:hAnsi="Times New Roman" w:eastAsia="宋体" w:cs="Times New Roman"/>
          <w:b/>
          <w:bCs/>
          <w:color w:val="000000"/>
          <w:kern w:val="0"/>
          <w:sz w:val="24"/>
          <w:szCs w:val="24"/>
          <w:lang w:val="en-US" w:eastAsia="zh-CN"/>
          <w14:ligatures w14:val="none"/>
        </w:rPr>
        <w:t>References</w:t>
      </w:r>
    </w:p>
    <w:p w14:paraId="18EA54D1">
      <w:pPr>
        <w:shd w:val="clear" w:color="auto" w:fill="FFFFFF"/>
        <w:spacing w:after="0" w:line="240" w:lineRule="auto"/>
        <w:jc w:val="both"/>
        <w:rPr>
          <w:rFonts w:ascii="Times New Roman" w:hAnsi="Times New Roman" w:cs="Times New Roman"/>
          <w:color w:val="000000"/>
          <w:kern w:val="0"/>
          <w:sz w:val="24"/>
          <w:szCs w:val="24"/>
          <w:lang w:val="en-US" w:eastAsia="zh-CN"/>
          <w14:ligatures w14:val="none"/>
        </w:rPr>
      </w:pPr>
      <w:r>
        <w:rPr>
          <w:rFonts w:hint="eastAsia" w:ascii="Times New Roman" w:hAnsi="Times New Roman" w:eastAsia="Times New Roman" w:cs="Times New Roman"/>
          <w:color w:val="000000"/>
          <w:kern w:val="0"/>
          <w:sz w:val="24"/>
          <w:szCs w:val="24"/>
          <w:lang w:val="en-US" w:eastAsia="ru-RU"/>
          <w14:ligatures w14:val="none"/>
        </w:rPr>
        <w:t>1.</w:t>
      </w:r>
      <w:r>
        <w:rPr>
          <w:rFonts w:ascii="Times New Roman" w:hAnsi="Times New Roman" w:eastAsia="Times New Roman" w:cs="Times New Roman"/>
          <w:color w:val="000000"/>
          <w:kern w:val="0"/>
          <w:sz w:val="24"/>
          <w:szCs w:val="24"/>
          <w:lang w:val="en-US" w:eastAsia="ru-RU"/>
          <w14:ligatures w14:val="none"/>
        </w:rPr>
        <w:t xml:space="preserve">OECD Nuclear Energy Agency (NEA), </w:t>
      </w:r>
      <w:r>
        <w:rPr>
          <w:rFonts w:ascii="Times New Roman" w:hAnsi="Times New Roman" w:eastAsia="Times New Roman" w:cs="Times New Roman"/>
          <w:bCs/>
          <w:color w:val="000000"/>
          <w:kern w:val="0"/>
          <w:sz w:val="24"/>
          <w:szCs w:val="24"/>
          <w:lang w:val="en-US" w:eastAsia="ru-RU"/>
          <w14:ligatures w14:val="none"/>
        </w:rPr>
        <w:t>ANFC&amp;RWM</w:t>
      </w:r>
      <w:r>
        <w:rPr>
          <w:rFonts w:ascii="Times New Roman" w:hAnsi="Times New Roman" w:eastAsia="Times New Roman" w:cs="Times New Roman"/>
          <w:color w:val="000000"/>
          <w:kern w:val="0"/>
          <w:sz w:val="24"/>
          <w:szCs w:val="24"/>
          <w:lang w:val="en-US" w:eastAsia="ru-RU"/>
          <w14:ligatures w14:val="none"/>
        </w:rPr>
        <w:t>, OECD Publishing, Paris, 2006.</w:t>
      </w:r>
    </w:p>
    <w:p w14:paraId="70C49C6E">
      <w:pPr>
        <w:shd w:val="clear" w:color="auto" w:fill="FFFFFF"/>
        <w:spacing w:after="0" w:line="240" w:lineRule="auto"/>
        <w:jc w:val="both"/>
        <w:rPr>
          <w:rFonts w:ascii="Times New Roman" w:hAnsi="Times New Roman" w:eastAsia="宋体" w:cs="Times New Roman"/>
          <w:color w:val="000000"/>
          <w:kern w:val="0"/>
          <w:sz w:val="24"/>
          <w:szCs w:val="24"/>
          <w:lang w:val="en-US" w:eastAsia="zh-CN"/>
          <w14:ligatures w14:val="none"/>
        </w:rPr>
      </w:pPr>
      <w:r>
        <w:rPr>
          <w:rFonts w:hint="eastAsia" w:ascii="Times New Roman" w:hAnsi="Times New Roman" w:eastAsia="宋体" w:cs="Times New Roman"/>
          <w:color w:val="000000"/>
          <w:kern w:val="0"/>
          <w:sz w:val="24"/>
          <w:szCs w:val="24"/>
          <w:lang w:val="en-US" w:eastAsia="zh-CN"/>
          <w14:ligatures w14:val="none"/>
        </w:rPr>
        <w:t xml:space="preserve">2.Shadrin A.Yu. et al. </w:t>
      </w:r>
      <w:r>
        <w:rPr>
          <w:rFonts w:ascii="Times New Roman" w:hAnsi="Times New Roman" w:eastAsia="宋体" w:cs="Times New Roman"/>
          <w:color w:val="000000"/>
          <w:kern w:val="0"/>
          <w:sz w:val="24"/>
          <w:szCs w:val="24"/>
          <w:lang w:val="en-US" w:eastAsia="zh-CN"/>
          <w14:ligatures w14:val="none"/>
        </w:rPr>
        <w:t>P</w:t>
      </w:r>
      <w:r>
        <w:rPr>
          <w:rFonts w:hint="eastAsia" w:ascii="Times New Roman" w:hAnsi="Times New Roman" w:eastAsia="宋体" w:cs="Times New Roman"/>
          <w:color w:val="000000"/>
          <w:kern w:val="0"/>
          <w:sz w:val="24"/>
          <w:szCs w:val="24"/>
          <w:lang w:val="en-US" w:eastAsia="zh-CN"/>
          <w14:ligatures w14:val="none"/>
        </w:rPr>
        <w:t>H process as a technology for reprocessing mixed uranium–plutonium fuel from BREST-OD-300 reactor // Radiochemistry. 2016. Vol. 58, № 3. P. 271–279.</w:t>
      </w:r>
    </w:p>
    <w:p w14:paraId="41B2253E">
      <w:pPr>
        <w:shd w:val="clear" w:color="auto" w:fill="FFFFFF"/>
        <w:spacing w:after="0" w:line="240" w:lineRule="auto"/>
        <w:jc w:val="both"/>
        <w:rPr>
          <w:rFonts w:ascii="Times New Roman" w:hAnsi="Times New Roman" w:cs="Times New Roman"/>
          <w:color w:val="000000"/>
          <w:kern w:val="0"/>
          <w:sz w:val="24"/>
          <w:szCs w:val="24"/>
          <w:lang w:val="en-US" w:eastAsia="zh-CN"/>
          <w14:ligatures w14:val="none"/>
        </w:rPr>
      </w:pPr>
      <w:r>
        <w:rPr>
          <w:rFonts w:hint="eastAsia" w:ascii="Times New Roman" w:hAnsi="Times New Roman" w:eastAsia="宋体" w:cs="Times New Roman"/>
          <w:color w:val="000000"/>
          <w:kern w:val="0"/>
          <w:sz w:val="24"/>
          <w:szCs w:val="24"/>
          <w:lang w:val="en-US" w:eastAsia="zh-CN"/>
          <w14:ligatures w14:val="none"/>
        </w:rPr>
        <w:t>3</w:t>
      </w:r>
      <w:r>
        <w:rPr>
          <w:rFonts w:ascii="Times New Roman" w:hAnsi="Times New Roman" w:eastAsia="Times New Roman" w:cs="Times New Roman"/>
          <w:color w:val="000000"/>
          <w:kern w:val="0"/>
          <w:sz w:val="24"/>
          <w:szCs w:val="24"/>
          <w:lang w:val="en-US" w:eastAsia="ru-RU"/>
          <w14:ligatures w14:val="none"/>
        </w:rPr>
        <w:t>.</w:t>
      </w:r>
      <w:r>
        <w:rPr>
          <w:lang w:val="en-US"/>
        </w:rPr>
        <w:t xml:space="preserve"> </w:t>
      </w:r>
      <w:r>
        <w:rPr>
          <w:rFonts w:ascii="Times New Roman" w:hAnsi="Times New Roman" w:eastAsia="Times New Roman" w:cs="Times New Roman"/>
          <w:color w:val="000000"/>
          <w:kern w:val="0"/>
          <w:sz w:val="24"/>
          <w:szCs w:val="24"/>
          <w:lang w:val="en-US" w:eastAsia="ru-RU"/>
          <w14:ligatures w14:val="none"/>
        </w:rPr>
        <w:t>Gregg D.J. et al. Hot Isostatically Pressed (HIPed) fluorite glass‐ceramic wasteforms for fluoride molten salt wastes //</w:t>
      </w:r>
      <w:r>
        <w:rPr>
          <w:rFonts w:hint="eastAsia" w:ascii="Times New Roman" w:hAnsi="Times New Roman" w:eastAsia="宋体" w:cs="Times New Roman"/>
          <w:color w:val="000000"/>
          <w:kern w:val="0"/>
          <w:sz w:val="24"/>
          <w:szCs w:val="24"/>
          <w:lang w:val="en-US" w:eastAsia="zh-CN"/>
          <w14:ligatures w14:val="none"/>
        </w:rPr>
        <w:t xml:space="preserve">J. </w:t>
      </w:r>
      <w:r>
        <w:rPr>
          <w:rFonts w:hint="eastAsia" w:ascii="Times New Roman" w:hAnsi="Times New Roman" w:eastAsia="Times New Roman" w:cs="Times New Roman"/>
          <w:color w:val="000000"/>
          <w:kern w:val="0"/>
          <w:sz w:val="24"/>
          <w:szCs w:val="24"/>
          <w:lang w:val="en-US" w:eastAsia="ru-RU"/>
          <w14:ligatures w14:val="none"/>
        </w:rPr>
        <w:t>Am. Ceram</w:t>
      </w:r>
      <w:r>
        <w:rPr>
          <w:rFonts w:ascii="Times New Roman" w:hAnsi="Times New Roman" w:eastAsia="Times New Roman" w:cs="Times New Roman"/>
          <w:color w:val="000000"/>
          <w:kern w:val="0"/>
          <w:sz w:val="24"/>
          <w:szCs w:val="24"/>
          <w:lang w:val="en-US" w:eastAsia="ru-RU"/>
          <w14:ligatures w14:val="none"/>
        </w:rPr>
        <w:t>. 2020. Vol. 103, № 10. P. 5454–5469.</w:t>
      </w:r>
    </w:p>
    <w:p w14:paraId="78AF2FAB">
      <w:pPr>
        <w:shd w:val="clear" w:color="auto" w:fill="FFFFFF"/>
        <w:spacing w:after="0" w:line="240" w:lineRule="auto"/>
        <w:jc w:val="both"/>
        <w:rPr>
          <w:rFonts w:ascii="Times New Roman" w:hAnsi="Times New Roman" w:eastAsia="Times New Roman" w:cs="Times New Roman"/>
          <w:color w:val="000000"/>
          <w:kern w:val="0"/>
          <w:sz w:val="24"/>
          <w:szCs w:val="24"/>
          <w:lang w:eastAsia="ru-RU"/>
          <w14:ligatures w14:val="none"/>
        </w:rPr>
      </w:pPr>
      <w:r>
        <w:rPr>
          <w:rFonts w:ascii="Times New Roman" w:hAnsi="Times New Roman" w:eastAsia="Times New Roman" w:cs="Times New Roman"/>
          <w:color w:val="000000"/>
          <w:kern w:val="0"/>
          <w:sz w:val="24"/>
          <w:szCs w:val="24"/>
          <w:lang w:val="en-US" w:eastAsia="ru-RU"/>
          <w14:ligatures w14:val="none"/>
        </w:rPr>
        <w:t xml:space="preserve">4.Matveenko A.V. et al. Natural Clay Minerals as a Starting Material for Matrices for the Immobilization of Radioactive Waste from Pyrochemical Processing of SNF // Sustainability. 2021. </w:t>
      </w:r>
      <w:r>
        <w:rPr>
          <w:rFonts w:ascii="Times New Roman" w:hAnsi="Times New Roman" w:eastAsia="Times New Roman" w:cs="Times New Roman"/>
          <w:color w:val="000000"/>
          <w:kern w:val="0"/>
          <w:sz w:val="24"/>
          <w:szCs w:val="24"/>
          <w:lang w:eastAsia="ru-RU"/>
          <w14:ligatures w14:val="none"/>
        </w:rPr>
        <w:t>Vol. 13, № 19. P. 10780.</w:t>
      </w:r>
    </w:p>
    <w:p w14:paraId="73C4AA67">
      <w:pPr>
        <w:shd w:val="clear" w:color="auto" w:fill="FFFFFF"/>
        <w:spacing w:after="0" w:line="240" w:lineRule="auto"/>
        <w:jc w:val="both"/>
        <w:rPr>
          <w:rFonts w:ascii="Times New Roman" w:hAnsi="Times New Roman" w:eastAsia="宋体" w:cs="Times New Roman"/>
          <w:iCs/>
          <w:color w:val="000000"/>
          <w:kern w:val="0"/>
          <w:sz w:val="24"/>
          <w:szCs w:val="24"/>
          <w:lang w:val="en-US" w:eastAsia="zh-CN"/>
          <w14:ligatures w14:val="none"/>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ptos">
    <w:altName w:val="Calibri"/>
    <w:panose1 w:val="00000000000000000000"/>
    <w:charset w:val="00"/>
    <w:family w:val="swiss"/>
    <w:pitch w:val="default"/>
    <w:sig w:usb0="00000000" w:usb1="00000000" w:usb2="00000000" w:usb3="00000000" w:csb0="0000019F" w:csb1="00000000"/>
  </w:font>
  <w:font w:name="Aptos Display">
    <w:altName w:val="Calibri"/>
    <w:panose1 w:val="00000000000000000000"/>
    <w:charset w:val="00"/>
    <w:family w:val="swiss"/>
    <w:pitch w:val="default"/>
    <w:sig w:usb0="00000000" w:usb1="00000000" w:usb2="00000000" w:usb3="00000000" w:csb0="0000019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08"/>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FBF"/>
    <w:rsid w:val="00016953"/>
    <w:rsid w:val="000B54C0"/>
    <w:rsid w:val="00102275"/>
    <w:rsid w:val="001446FD"/>
    <w:rsid w:val="00157577"/>
    <w:rsid w:val="0016612D"/>
    <w:rsid w:val="001975C2"/>
    <w:rsid w:val="001A2051"/>
    <w:rsid w:val="001B24D4"/>
    <w:rsid w:val="001B4F10"/>
    <w:rsid w:val="001E6486"/>
    <w:rsid w:val="001F37F8"/>
    <w:rsid w:val="00213579"/>
    <w:rsid w:val="00244BBA"/>
    <w:rsid w:val="00255C10"/>
    <w:rsid w:val="002D67FD"/>
    <w:rsid w:val="002E7537"/>
    <w:rsid w:val="002F650A"/>
    <w:rsid w:val="00310C35"/>
    <w:rsid w:val="00332DD2"/>
    <w:rsid w:val="00346B97"/>
    <w:rsid w:val="00367C64"/>
    <w:rsid w:val="00376858"/>
    <w:rsid w:val="003A4EE6"/>
    <w:rsid w:val="003D58AB"/>
    <w:rsid w:val="003E161D"/>
    <w:rsid w:val="00406401"/>
    <w:rsid w:val="0042462E"/>
    <w:rsid w:val="00446B0C"/>
    <w:rsid w:val="0048369D"/>
    <w:rsid w:val="00484F5F"/>
    <w:rsid w:val="004C3534"/>
    <w:rsid w:val="004F47D3"/>
    <w:rsid w:val="005A2BF6"/>
    <w:rsid w:val="005A2FF6"/>
    <w:rsid w:val="005A7FFA"/>
    <w:rsid w:val="005E76D6"/>
    <w:rsid w:val="00617793"/>
    <w:rsid w:val="0064630E"/>
    <w:rsid w:val="00661456"/>
    <w:rsid w:val="006667B2"/>
    <w:rsid w:val="006760A9"/>
    <w:rsid w:val="006813AC"/>
    <w:rsid w:val="00686B4C"/>
    <w:rsid w:val="00687F9E"/>
    <w:rsid w:val="006A7FD3"/>
    <w:rsid w:val="006D1042"/>
    <w:rsid w:val="006F25D8"/>
    <w:rsid w:val="0070030B"/>
    <w:rsid w:val="00746742"/>
    <w:rsid w:val="007636A7"/>
    <w:rsid w:val="007856A0"/>
    <w:rsid w:val="00786804"/>
    <w:rsid w:val="00797B33"/>
    <w:rsid w:val="007B30FC"/>
    <w:rsid w:val="007B5794"/>
    <w:rsid w:val="007C0E84"/>
    <w:rsid w:val="007E4335"/>
    <w:rsid w:val="007F117B"/>
    <w:rsid w:val="008244E1"/>
    <w:rsid w:val="00834E99"/>
    <w:rsid w:val="0083743E"/>
    <w:rsid w:val="0085251A"/>
    <w:rsid w:val="008874FA"/>
    <w:rsid w:val="008F5CD8"/>
    <w:rsid w:val="009805BF"/>
    <w:rsid w:val="00994509"/>
    <w:rsid w:val="009A3A3A"/>
    <w:rsid w:val="009F7F6A"/>
    <w:rsid w:val="00A40AF8"/>
    <w:rsid w:val="00A4558F"/>
    <w:rsid w:val="00A83934"/>
    <w:rsid w:val="00AA43D5"/>
    <w:rsid w:val="00B05AD3"/>
    <w:rsid w:val="00B15076"/>
    <w:rsid w:val="00B4197B"/>
    <w:rsid w:val="00B92320"/>
    <w:rsid w:val="00B92B4A"/>
    <w:rsid w:val="00BA6A49"/>
    <w:rsid w:val="00BF109C"/>
    <w:rsid w:val="00C31EBE"/>
    <w:rsid w:val="00C63BFF"/>
    <w:rsid w:val="00C73A0D"/>
    <w:rsid w:val="00C92AB8"/>
    <w:rsid w:val="00CB582E"/>
    <w:rsid w:val="00CB732F"/>
    <w:rsid w:val="00CC37B6"/>
    <w:rsid w:val="00CC408C"/>
    <w:rsid w:val="00CD07D8"/>
    <w:rsid w:val="00CE2981"/>
    <w:rsid w:val="00DB4FBF"/>
    <w:rsid w:val="00E14E61"/>
    <w:rsid w:val="00E20431"/>
    <w:rsid w:val="00E314E9"/>
    <w:rsid w:val="00E35407"/>
    <w:rsid w:val="00E57788"/>
    <w:rsid w:val="00E660CC"/>
    <w:rsid w:val="00F07F16"/>
    <w:rsid w:val="00F263BB"/>
    <w:rsid w:val="00F27E0D"/>
    <w:rsid w:val="00FB05D1"/>
    <w:rsid w:val="0A380373"/>
    <w:rsid w:val="0FFA76C7"/>
    <w:rsid w:val="120B3EBE"/>
    <w:rsid w:val="23652907"/>
    <w:rsid w:val="2C0A197C"/>
    <w:rsid w:val="31302162"/>
    <w:rsid w:val="39523D49"/>
    <w:rsid w:val="675D1C3B"/>
    <w:rsid w:val="6A3F7768"/>
    <w:rsid w:val="6B01656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ptos" w:hAnsi="Aptos" w:eastAsiaTheme="minorEastAsia" w:cs="Apto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ru-RU" w:eastAsia="en-US" w:bidi="ar-SA"/>
      <w14:ligatures w14:val="standardContextual"/>
    </w:rPr>
  </w:style>
  <w:style w:type="paragraph" w:styleId="2">
    <w:name w:val="heading 1"/>
    <w:basedOn w:val="1"/>
    <w:next w:val="1"/>
    <w:link w:val="23"/>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4"/>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5"/>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6"/>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7"/>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8"/>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9"/>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0"/>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1"/>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20">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6"/>
    <w:semiHidden/>
    <w:unhideWhenUsed/>
    <w:qFormat/>
    <w:uiPriority w:val="99"/>
    <w:pPr>
      <w:spacing w:line="240" w:lineRule="auto"/>
    </w:pPr>
    <w:rPr>
      <w:sz w:val="20"/>
      <w:szCs w:val="20"/>
    </w:rPr>
  </w:style>
  <w:style w:type="paragraph" w:styleId="12">
    <w:name w:val="Balloon Text"/>
    <w:basedOn w:val="1"/>
    <w:link w:val="48"/>
    <w:semiHidden/>
    <w:unhideWhenUsed/>
    <w:uiPriority w:val="99"/>
    <w:pPr>
      <w:spacing w:after="0" w:line="240" w:lineRule="auto"/>
    </w:pPr>
    <w:rPr>
      <w:rFonts w:ascii="Segoe UI" w:hAnsi="Segoe UI" w:cs="Segoe UI"/>
      <w:sz w:val="18"/>
      <w:szCs w:val="18"/>
    </w:rPr>
  </w:style>
  <w:style w:type="paragraph" w:styleId="13">
    <w:name w:val="footer"/>
    <w:basedOn w:val="1"/>
    <w:link w:val="44"/>
    <w:unhideWhenUsed/>
    <w:qFormat/>
    <w:uiPriority w:val="99"/>
    <w:pPr>
      <w:tabs>
        <w:tab w:val="center" w:pos="4153"/>
        <w:tab w:val="right" w:pos="8306"/>
      </w:tabs>
      <w:snapToGrid w:val="0"/>
      <w:spacing w:line="240" w:lineRule="auto"/>
    </w:pPr>
    <w:rPr>
      <w:sz w:val="18"/>
      <w:szCs w:val="18"/>
    </w:rPr>
  </w:style>
  <w:style w:type="paragraph" w:styleId="14">
    <w:name w:val="header"/>
    <w:basedOn w:val="1"/>
    <w:link w:val="43"/>
    <w:unhideWhenUsed/>
    <w:qFormat/>
    <w:uiPriority w:val="99"/>
    <w:pPr>
      <w:tabs>
        <w:tab w:val="center" w:pos="4153"/>
        <w:tab w:val="right" w:pos="8306"/>
      </w:tabs>
      <w:snapToGrid w:val="0"/>
      <w:spacing w:line="240" w:lineRule="auto"/>
      <w:jc w:val="center"/>
    </w:pPr>
    <w:rPr>
      <w:sz w:val="18"/>
      <w:szCs w:val="18"/>
    </w:rPr>
  </w:style>
  <w:style w:type="paragraph" w:styleId="15">
    <w:name w:val="toc 1"/>
    <w:basedOn w:val="1"/>
    <w:next w:val="1"/>
    <w:autoRedefine/>
    <w:unhideWhenUsed/>
    <w:qFormat/>
    <w:uiPriority w:val="39"/>
    <w:pPr>
      <w:spacing w:after="100"/>
    </w:pPr>
  </w:style>
  <w:style w:type="paragraph" w:styleId="16">
    <w:name w:val="Subtitle"/>
    <w:basedOn w:val="1"/>
    <w:next w:val="1"/>
    <w:link w:val="3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itle"/>
    <w:basedOn w:val="1"/>
    <w:next w:val="1"/>
    <w:link w:val="32"/>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18">
    <w:name w:val="annotation subject"/>
    <w:basedOn w:val="11"/>
    <w:next w:val="11"/>
    <w:link w:val="47"/>
    <w:semiHidden/>
    <w:unhideWhenUsed/>
    <w:qFormat/>
    <w:uiPriority w:val="99"/>
    <w:pPr>
      <w:spacing w:line="259" w:lineRule="auto"/>
    </w:pPr>
    <w:rPr>
      <w:b/>
      <w:bCs/>
      <w:sz w:val="22"/>
      <w:szCs w:val="22"/>
    </w:rPr>
  </w:style>
  <w:style w:type="character" w:styleId="21">
    <w:name w:val="Hyperlink"/>
    <w:basedOn w:val="20"/>
    <w:unhideWhenUsed/>
    <w:qFormat/>
    <w:uiPriority w:val="99"/>
    <w:rPr>
      <w:color w:val="467886" w:themeColor="hyperlink"/>
      <w:u w:val="single"/>
      <w14:textFill>
        <w14:solidFill>
          <w14:schemeClr w14:val="hlink"/>
        </w14:solidFill>
      </w14:textFill>
    </w:rPr>
  </w:style>
  <w:style w:type="character" w:styleId="22">
    <w:name w:val="annotation reference"/>
    <w:basedOn w:val="20"/>
    <w:semiHidden/>
    <w:unhideWhenUsed/>
    <w:qFormat/>
    <w:uiPriority w:val="99"/>
    <w:rPr>
      <w:sz w:val="16"/>
      <w:szCs w:val="16"/>
    </w:rPr>
  </w:style>
  <w:style w:type="character" w:customStyle="1" w:styleId="23">
    <w:name w:val="Заголовок 1 Знак"/>
    <w:basedOn w:val="20"/>
    <w:link w:val="2"/>
    <w:qFormat/>
    <w:uiPriority w:val="9"/>
    <w:rPr>
      <w:rFonts w:asciiTheme="majorHAnsi" w:hAnsiTheme="majorHAnsi" w:eastAsiaTheme="majorEastAsia" w:cstheme="majorBidi"/>
      <w:color w:val="104862" w:themeColor="accent1" w:themeShade="BF"/>
      <w:sz w:val="40"/>
      <w:szCs w:val="40"/>
    </w:rPr>
  </w:style>
  <w:style w:type="character" w:customStyle="1" w:styleId="24">
    <w:name w:val="Заголовок 2 Знак"/>
    <w:basedOn w:val="20"/>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5">
    <w:name w:val="Заголовок 3 Знак"/>
    <w:basedOn w:val="20"/>
    <w:link w:val="4"/>
    <w:semiHidden/>
    <w:qFormat/>
    <w:uiPriority w:val="9"/>
    <w:rPr>
      <w:rFonts w:eastAsiaTheme="majorEastAsia" w:cstheme="majorBidi"/>
      <w:color w:val="104862" w:themeColor="accent1" w:themeShade="BF"/>
      <w:sz w:val="28"/>
      <w:szCs w:val="28"/>
    </w:rPr>
  </w:style>
  <w:style w:type="character" w:customStyle="1" w:styleId="26">
    <w:name w:val="Заголовок 4 Знак"/>
    <w:basedOn w:val="20"/>
    <w:link w:val="5"/>
    <w:semiHidden/>
    <w:qFormat/>
    <w:uiPriority w:val="9"/>
    <w:rPr>
      <w:rFonts w:eastAsiaTheme="majorEastAsia" w:cstheme="majorBidi"/>
      <w:i/>
      <w:iCs/>
      <w:color w:val="104862" w:themeColor="accent1" w:themeShade="BF"/>
    </w:rPr>
  </w:style>
  <w:style w:type="character" w:customStyle="1" w:styleId="27">
    <w:name w:val="Заголовок 5 Знак"/>
    <w:basedOn w:val="20"/>
    <w:link w:val="6"/>
    <w:semiHidden/>
    <w:qFormat/>
    <w:uiPriority w:val="9"/>
    <w:rPr>
      <w:rFonts w:eastAsiaTheme="majorEastAsia" w:cstheme="majorBidi"/>
      <w:color w:val="104862" w:themeColor="accent1" w:themeShade="BF"/>
    </w:rPr>
  </w:style>
  <w:style w:type="character" w:customStyle="1" w:styleId="28">
    <w:name w:val="Заголовок 6 Знак"/>
    <w:basedOn w:val="20"/>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9">
    <w:name w:val="Заголовок 7 Знак"/>
    <w:basedOn w:val="20"/>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Заголовок 8 Знак"/>
    <w:basedOn w:val="20"/>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31">
    <w:name w:val="Заголовок 9 Знак"/>
    <w:basedOn w:val="20"/>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2">
    <w:name w:val="Заголовок Знак"/>
    <w:basedOn w:val="20"/>
    <w:link w:val="17"/>
    <w:qFormat/>
    <w:uiPriority w:val="10"/>
    <w:rPr>
      <w:rFonts w:asciiTheme="majorHAnsi" w:hAnsiTheme="majorHAnsi" w:eastAsiaTheme="majorEastAsia" w:cstheme="majorBidi"/>
      <w:spacing w:val="-10"/>
      <w:kern w:val="28"/>
      <w:sz w:val="56"/>
      <w:szCs w:val="56"/>
    </w:rPr>
  </w:style>
  <w:style w:type="character" w:customStyle="1" w:styleId="33">
    <w:name w:val="Подзаголовок Знак"/>
    <w:basedOn w:val="20"/>
    <w:link w:val="1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Цитата 2 Знак"/>
    <w:basedOn w:val="20"/>
    <w:link w:val="34"/>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34"/>
    <w:pPr>
      <w:ind w:left="720"/>
      <w:contextualSpacing/>
    </w:pPr>
  </w:style>
  <w:style w:type="character" w:customStyle="1" w:styleId="37">
    <w:name w:val="明显强调1"/>
    <w:basedOn w:val="20"/>
    <w:qFormat/>
    <w:uiPriority w:val="21"/>
    <w:rPr>
      <w:i/>
      <w:iCs/>
      <w:color w:val="104862" w:themeColor="accent1" w:themeShade="BF"/>
    </w:rPr>
  </w:style>
  <w:style w:type="paragraph" w:styleId="38">
    <w:name w:val="Intense Quote"/>
    <w:basedOn w:val="1"/>
    <w:next w:val="1"/>
    <w:link w:val="39"/>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9">
    <w:name w:val="Выделенная цитата Знак"/>
    <w:basedOn w:val="20"/>
    <w:link w:val="38"/>
    <w:qFormat/>
    <w:uiPriority w:val="30"/>
    <w:rPr>
      <w:i/>
      <w:iCs/>
      <w:color w:val="104862" w:themeColor="accent1" w:themeShade="BF"/>
    </w:rPr>
  </w:style>
  <w:style w:type="character" w:customStyle="1" w:styleId="40">
    <w:name w:val="明显参考1"/>
    <w:basedOn w:val="20"/>
    <w:qFormat/>
    <w:uiPriority w:val="32"/>
    <w:rPr>
      <w:b/>
      <w:bCs/>
      <w:smallCaps/>
      <w:color w:val="104862" w:themeColor="accent1" w:themeShade="BF"/>
      <w:spacing w:val="5"/>
    </w:rPr>
  </w:style>
  <w:style w:type="character" w:styleId="41">
    <w:name w:val="Placeholder Text"/>
    <w:basedOn w:val="20"/>
    <w:semiHidden/>
    <w:qFormat/>
    <w:uiPriority w:val="99"/>
    <w:rPr>
      <w:color w:val="666666"/>
    </w:rPr>
  </w:style>
  <w:style w:type="paragraph" w:customStyle="1" w:styleId="42">
    <w:name w:val="TOC 标题1"/>
    <w:basedOn w:val="2"/>
    <w:next w:val="1"/>
    <w:unhideWhenUsed/>
    <w:qFormat/>
    <w:uiPriority w:val="39"/>
    <w:pPr>
      <w:spacing w:before="240" w:after="0"/>
      <w:outlineLvl w:val="9"/>
    </w:pPr>
    <w:rPr>
      <w:kern w:val="0"/>
      <w:sz w:val="32"/>
      <w:szCs w:val="32"/>
      <w:lang w:eastAsia="ru-RU"/>
      <w14:ligatures w14:val="none"/>
    </w:rPr>
  </w:style>
  <w:style w:type="character" w:customStyle="1" w:styleId="43">
    <w:name w:val="Верхний колонтитул Знак"/>
    <w:basedOn w:val="20"/>
    <w:link w:val="14"/>
    <w:qFormat/>
    <w:uiPriority w:val="99"/>
    <w:rPr>
      <w:sz w:val="18"/>
      <w:szCs w:val="18"/>
    </w:rPr>
  </w:style>
  <w:style w:type="character" w:customStyle="1" w:styleId="44">
    <w:name w:val="Нижний колонтитул Знак"/>
    <w:basedOn w:val="20"/>
    <w:link w:val="13"/>
    <w:qFormat/>
    <w:uiPriority w:val="99"/>
    <w:rPr>
      <w:sz w:val="18"/>
      <w:szCs w:val="18"/>
    </w:rPr>
  </w:style>
  <w:style w:type="character" w:customStyle="1" w:styleId="45">
    <w:name w:val="未处理的提及1"/>
    <w:basedOn w:val="20"/>
    <w:semiHidden/>
    <w:unhideWhenUsed/>
    <w:qFormat/>
    <w:uiPriority w:val="99"/>
    <w:rPr>
      <w:color w:val="605E5C"/>
      <w:shd w:val="clear" w:color="auto" w:fill="E1DFDD"/>
    </w:rPr>
  </w:style>
  <w:style w:type="character" w:customStyle="1" w:styleId="46">
    <w:name w:val="Текст примечания Знак"/>
    <w:basedOn w:val="20"/>
    <w:link w:val="11"/>
    <w:semiHidden/>
    <w:qFormat/>
    <w:uiPriority w:val="99"/>
    <w:rPr>
      <w:rFonts w:asciiTheme="minorHAnsi" w:hAnsiTheme="minorHAnsi" w:cstheme="minorBidi"/>
      <w:kern w:val="2"/>
      <w:lang w:val="ru-RU" w:eastAsia="en-US"/>
      <w14:ligatures w14:val="standardContextual"/>
    </w:rPr>
  </w:style>
  <w:style w:type="character" w:customStyle="1" w:styleId="47">
    <w:name w:val="Тема примечания Знак"/>
    <w:basedOn w:val="46"/>
    <w:link w:val="18"/>
    <w:semiHidden/>
    <w:qFormat/>
    <w:uiPriority w:val="99"/>
    <w:rPr>
      <w:rFonts w:asciiTheme="minorHAnsi" w:hAnsiTheme="minorHAnsi" w:cstheme="minorBidi"/>
      <w:b/>
      <w:bCs/>
      <w:kern w:val="2"/>
      <w:sz w:val="22"/>
      <w:szCs w:val="22"/>
      <w:lang w:val="ru-RU" w:eastAsia="en-US"/>
      <w14:ligatures w14:val="standardContextual"/>
    </w:rPr>
  </w:style>
  <w:style w:type="character" w:customStyle="1" w:styleId="48">
    <w:name w:val="Текст выноски Знак"/>
    <w:basedOn w:val="20"/>
    <w:link w:val="12"/>
    <w:semiHidden/>
    <w:uiPriority w:val="99"/>
    <w:rPr>
      <w:rFonts w:ascii="Segoe UI" w:hAnsi="Segoe UI" w:cs="Segoe UI"/>
      <w:kern w:val="2"/>
      <w:sz w:val="18"/>
      <w:szCs w:val="18"/>
      <w:lang w:val="ru-RU" w:eastAsia="en-US"/>
      <w14:ligatures w14:val="standardContextual"/>
    </w:rPr>
  </w:style>
  <w:style w:type="paragraph" w:customStyle="1" w:styleId="49">
    <w:name w:val="Revision"/>
    <w:hidden/>
    <w:unhideWhenUsed/>
    <w:uiPriority w:val="99"/>
    <w:rPr>
      <w:rFonts w:asciiTheme="minorHAnsi" w:hAnsiTheme="minorHAnsi" w:eastAsiaTheme="minorEastAsia" w:cstheme="minorBidi"/>
      <w:kern w:val="2"/>
      <w:sz w:val="22"/>
      <w:szCs w:val="22"/>
      <w:lang w:val="ru-RU" w:eastAsia="en-US" w:bidi="ar-SA"/>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F26FD-365E-444E-B915-C46CFB09D1F2}">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573</Words>
  <Characters>3585</Characters>
  <Lines>29</Lines>
  <Paragraphs>8</Paragraphs>
  <TotalTime>99</TotalTime>
  <ScaleCrop>false</ScaleCrop>
  <LinksUpToDate>false</LinksUpToDate>
  <CharactersWithSpaces>4143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2025-03-04T09:51:00Z</dcterms:created>
  <dc:creator>Владимир Миняйлов</dc:creator>
  <cp:lastModifiedBy>久伴</cp:lastModifiedBy>
  <dcterms:modified xsi:type="dcterms:W3CDTF">2025-03-07T14:47:11Z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eyJoZGlkIjoiODY2MjVkMGZmYWM2OTcwZjZjOTNiOGQzZTAzYmI1MTUiLCJ1c2VySWQiOiI1Mzc4NjQ0MDAifQ==</vt:lpwstr>
  </property>
  <property fmtid="{D5CDD505-2E9C-101B-9397-08002B2CF9AE}" pid="3" name="KSOProductBuildVer">
    <vt:lpwstr>2052-12.1.0.20305</vt:lpwstr>
  </property>
  <property fmtid="{D5CDD505-2E9C-101B-9397-08002B2CF9AE}" pid="4" name="ICV">
    <vt:lpwstr>85820E22D5814FF1A5963DA4BD518478_13</vt:lpwstr>
  </property>
</Properties>
</file>