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Разделение </w:t>
      </w:r>
      <w:r w:rsidDel="00000000" w:rsidR="00000000" w:rsidRPr="00000000">
        <w:rPr>
          <w:b w:val="1"/>
          <w:vertAlign w:val="superscript"/>
          <w:rtl w:val="0"/>
        </w:rPr>
        <w:t xml:space="preserve">44</w:t>
      </w:r>
      <w:r w:rsidDel="00000000" w:rsidR="00000000" w:rsidRPr="00000000">
        <w:rPr>
          <w:b w:val="1"/>
          <w:rtl w:val="0"/>
        </w:rPr>
        <w:t xml:space="preserve">Ti и </w:t>
      </w:r>
      <w:r w:rsidDel="00000000" w:rsidR="00000000" w:rsidRPr="00000000">
        <w:rPr>
          <w:b w:val="1"/>
          <w:vertAlign w:val="superscript"/>
          <w:rtl w:val="0"/>
        </w:rPr>
        <w:t xml:space="preserve">44</w:t>
      </w:r>
      <w:r w:rsidDel="00000000" w:rsidR="00000000" w:rsidRPr="00000000">
        <w:rPr>
          <w:b w:val="1"/>
          <w:rtl w:val="0"/>
        </w:rPr>
        <w:t xml:space="preserve">Sc методом жидкость-жидкостной экстракции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i w:val="1"/>
          <w:rtl w:val="0"/>
        </w:rPr>
        <w:t xml:space="preserve">Перекина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Е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b w:val="1"/>
          <w:i w:val="1"/>
          <w:rtl w:val="0"/>
        </w:rPr>
        <w:t xml:space="preserve">А</w:t>
      </w:r>
      <w:r w:rsidDel="00000000" w:rsidR="00000000" w:rsidRPr="00000000">
        <w:rPr>
          <w:b w:val="1"/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Студент, 4 курс специалитета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Московский государственный университет имени М.В. Ломоносова, </w:t>
        <w:br w:type="textWrapping"/>
        <w:t xml:space="preserve">химический факультет, Москва, Россия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elena.perekina2015@yandex.ru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Скандий является перспективным  элементом для тераностического применения в ядерной медицине, так как его изотопы имеют как диагностический (</w:t>
      </w:r>
      <w:r w:rsidDel="00000000" w:rsidR="00000000" w:rsidRPr="00000000">
        <w:rPr>
          <w:vertAlign w:val="superscript"/>
          <w:rtl w:val="0"/>
        </w:rPr>
        <w:t xml:space="preserve">43</w:t>
      </w:r>
      <w:r w:rsidDel="00000000" w:rsidR="00000000" w:rsidRPr="00000000">
        <w:rPr>
          <w:rtl w:val="0"/>
        </w:rPr>
        <w:t xml:space="preserve">Sc, </w:t>
      </w:r>
      <w:r w:rsidDel="00000000" w:rsidR="00000000" w:rsidRPr="00000000">
        <w:rPr>
          <w:vertAlign w:val="superscript"/>
          <w:rtl w:val="0"/>
        </w:rPr>
        <w:t xml:space="preserve">44</w:t>
      </w:r>
      <w:r w:rsidDel="00000000" w:rsidR="00000000" w:rsidRPr="00000000">
        <w:rPr>
          <w:rtl w:val="0"/>
        </w:rPr>
        <w:t xml:space="preserve">Sc), так и терапевтический потенциал (</w:t>
      </w:r>
      <w:r w:rsidDel="00000000" w:rsidR="00000000" w:rsidRPr="00000000">
        <w:rPr>
          <w:vertAlign w:val="superscript"/>
          <w:rtl w:val="0"/>
        </w:rPr>
        <w:t xml:space="preserve">47</w:t>
      </w:r>
      <w:r w:rsidDel="00000000" w:rsidR="00000000" w:rsidRPr="00000000">
        <w:rPr>
          <w:rtl w:val="0"/>
        </w:rPr>
        <w:t xml:space="preserve">Sc). </w:t>
      </w:r>
      <w:r w:rsidDel="00000000" w:rsidR="00000000" w:rsidRPr="00000000">
        <w:rPr>
          <w:vertAlign w:val="superscript"/>
          <w:rtl w:val="0"/>
        </w:rPr>
        <w:t xml:space="preserve">44</w:t>
      </w:r>
      <w:r w:rsidDel="00000000" w:rsidR="00000000" w:rsidRPr="00000000">
        <w:rPr>
          <w:rtl w:val="0"/>
        </w:rPr>
        <w:t xml:space="preserve">Sc может быть получен генераторным способом из материнского радионуклида </w:t>
      </w:r>
      <w:r w:rsidDel="00000000" w:rsidR="00000000" w:rsidRPr="00000000">
        <w:rPr>
          <w:vertAlign w:val="superscript"/>
          <w:rtl w:val="0"/>
        </w:rPr>
        <w:t xml:space="preserve">44</w:t>
      </w:r>
      <w:r w:rsidDel="00000000" w:rsidR="00000000" w:rsidRPr="00000000">
        <w:rPr>
          <w:rtl w:val="0"/>
        </w:rPr>
        <w:t xml:space="preserve">Ti (T</w:t>
      </w:r>
      <w:r w:rsidDel="00000000" w:rsidR="00000000" w:rsidRPr="00000000">
        <w:rPr>
          <w:vertAlign w:val="subscript"/>
          <w:rtl w:val="0"/>
        </w:rPr>
        <w:t xml:space="preserve">1/2</w:t>
      </w:r>
      <w:r w:rsidDel="00000000" w:rsidR="00000000" w:rsidRPr="00000000">
        <w:rPr>
          <w:rtl w:val="0"/>
        </w:rPr>
        <w:t xml:space="preserve"> = 60 лет). Предложенные в литературе [1-3]  генераторные системы предполагают удержание </w:t>
      </w:r>
      <w:r w:rsidDel="00000000" w:rsidR="00000000" w:rsidRPr="00000000">
        <w:rPr>
          <w:vertAlign w:val="superscript"/>
          <w:rtl w:val="0"/>
        </w:rPr>
        <w:t xml:space="preserve">44</w:t>
      </w:r>
      <w:r w:rsidDel="00000000" w:rsidR="00000000" w:rsidRPr="00000000">
        <w:rPr>
          <w:rtl w:val="0"/>
        </w:rPr>
        <w:t xml:space="preserve">Ti на сорбенте, однако большой период полураспада (60 лет) подразумевает многократное использование генератора в течение длительного времени. Данная работа посвящена исследованию возможности применения жидкость-жидкостной экстракции для разделения </w:t>
      </w:r>
      <w:r w:rsidDel="00000000" w:rsidR="00000000" w:rsidRPr="00000000">
        <w:rPr>
          <w:vertAlign w:val="superscript"/>
          <w:rtl w:val="0"/>
        </w:rPr>
        <w:t xml:space="preserve">44</w:t>
      </w:r>
      <w:r w:rsidDel="00000000" w:rsidR="00000000" w:rsidRPr="00000000">
        <w:rPr>
          <w:rtl w:val="0"/>
        </w:rPr>
        <w:t xml:space="preserve">Ti и </w:t>
      </w:r>
      <w:r w:rsidDel="00000000" w:rsidR="00000000" w:rsidRPr="00000000">
        <w:rPr>
          <w:vertAlign w:val="superscript"/>
          <w:rtl w:val="0"/>
        </w:rPr>
        <w:t xml:space="preserve">44</w:t>
      </w:r>
      <w:r w:rsidDel="00000000" w:rsidR="00000000" w:rsidRPr="00000000">
        <w:rPr>
          <w:rtl w:val="0"/>
        </w:rPr>
        <w:t xml:space="preserve">Sc методом «обратного» генератора.</w:t>
      </w:r>
    </w:p>
    <w:p w:rsidR="00000000" w:rsidDel="00000000" w:rsidP="00000000" w:rsidRDefault="00000000" w:rsidRPr="00000000" w14:paraId="00000007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В работе были исследованы экстракционные системы на основе экстрагентов ТБФ (трибутилфосфат</w:t>
      </w:r>
      <w:r w:rsidDel="00000000" w:rsidR="00000000" w:rsidRPr="00000000">
        <w:rPr>
          <w:color w:val="333333"/>
          <w:rtl w:val="0"/>
        </w:rPr>
        <w:t xml:space="preserve">)</w:t>
      </w:r>
      <w:r w:rsidDel="00000000" w:rsidR="00000000" w:rsidRPr="00000000">
        <w:rPr>
          <w:rtl w:val="0"/>
        </w:rPr>
        <w:t xml:space="preserve">, ТОФО (три-н-октилфосфиноксид) с растворами соляной и азотной кислот. В качестве растворителя в органической фазе использовали толуол. </w:t>
      </w:r>
    </w:p>
    <w:p w:rsidR="00000000" w:rsidDel="00000000" w:rsidP="00000000" w:rsidRDefault="00000000" w:rsidRPr="00000000" w14:paraId="00000008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Были получены зависимости степеней экстракции для Ti(IV) и Sc(III) от концентрации соляной и азотной кислот в диапазоне от 0,1 М до 9 М. Для систем, продемонстрировавших потенциальную возможность разделения Ti(IV) и Sc(III) были получены зависимости степеней экстракции Sc(III) от концентрации экстрагента.  Концентрации ТБФ варьировались в пределах 0,18 М - 3,7 М, ТОФО в пределах 0,01 М - 0,18 М. </w:t>
      </w:r>
    </w:p>
    <w:p w:rsidR="00000000" w:rsidDel="00000000" w:rsidP="00000000" w:rsidRDefault="00000000" w:rsidRPr="00000000" w14:paraId="00000009">
      <w:pPr>
        <w:widowControl w:val="0"/>
        <w:ind w:firstLine="720"/>
        <w:jc w:val="both"/>
        <w:rPr/>
      </w:pPr>
      <w:r w:rsidDel="00000000" w:rsidR="00000000" w:rsidRPr="00000000">
        <w:rPr>
          <w:rtl w:val="0"/>
        </w:rPr>
        <w:t xml:space="preserve">Показано, что разделение Ti(IV) и Sc(III) возможно в системах: 1) ТОФО – 0,1M HNO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, 2) ТОФО – 3M HCl, 3) ТБФ – 7M HCl. Для данных систем Sc(III) существует в органической фазе в виде комплексов, содержащих 2-3 молекулы экстрагента.</w:t>
      </w:r>
    </w:p>
    <w:p w:rsidR="00000000" w:rsidDel="00000000" w:rsidP="00000000" w:rsidRDefault="00000000" w:rsidRPr="00000000" w14:paraId="0000000A">
      <w:pPr>
        <w:widowControl w:val="0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173" w:hanging="83"/>
        <w:rPr/>
      </w:pPr>
      <w:r w:rsidDel="00000000" w:rsidR="00000000" w:rsidRPr="00000000">
        <w:rPr>
          <w:rtl w:val="0"/>
        </w:rPr>
        <w:t xml:space="preserve">Filosofov D.V. et al. Radiochim. Acta, 2010, 98, №3, 149.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173" w:hanging="83"/>
        <w:rPr/>
      </w:pPr>
      <w:r w:rsidDel="00000000" w:rsidR="00000000" w:rsidRPr="00000000">
        <w:rPr>
          <w:rtl w:val="0"/>
        </w:rPr>
        <w:t xml:space="preserve">Yakusheva N.S. et al. Journal of Labelled Compounds and Radiopharmaceuticals, 2019, 62, № 11, 718.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173" w:hanging="83"/>
        <w:rPr/>
      </w:pPr>
      <w:r w:rsidDel="00000000" w:rsidR="00000000" w:rsidRPr="00000000">
        <w:rPr>
          <w:rtl w:val="0"/>
        </w:rPr>
        <w:t xml:space="preserve">Larenkov A.A. et al. Molecules, 2021, 26, № 21, 6371.</w:t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lena.perekina201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