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ED7A" w14:textId="145F4869" w:rsidR="007E29B2" w:rsidRPr="00E31C97" w:rsidRDefault="007E29B2" w:rsidP="00212FE8">
      <w:pPr>
        <w:jc w:val="center"/>
        <w:rPr>
          <w:rFonts w:eastAsia="Calibri"/>
          <w:b/>
          <w:sz w:val="30"/>
          <w:szCs w:val="30"/>
        </w:rPr>
      </w:pPr>
      <w:bookmarkStart w:id="0" w:name="_GoBack"/>
      <w:bookmarkEnd w:id="0"/>
      <w:r w:rsidRPr="00294986">
        <w:rPr>
          <w:b/>
          <w:color w:val="000000"/>
        </w:rPr>
        <w:t>Произведение растворимости и общая растворимость в воде сукцината меди (II)</w:t>
      </w:r>
      <w:r w:rsidRPr="00D1168F">
        <w:rPr>
          <w:rFonts w:eastAsia="Calibri"/>
        </w:rPr>
        <w:t xml:space="preserve"> </w:t>
      </w:r>
    </w:p>
    <w:p w14:paraId="07884C66" w14:textId="493F3F10" w:rsidR="007E29B2" w:rsidRPr="003B59DF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Джафарова Г.А.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Pr="003B59D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Леванов А.В</w:t>
      </w:r>
      <w:r w:rsidR="00810933">
        <w:rPr>
          <w:b/>
          <w:i/>
          <w:color w:val="000000"/>
        </w:rPr>
        <w:t>.</w:t>
      </w:r>
      <w:r w:rsidRPr="003B59DF">
        <w:rPr>
          <w:b/>
          <w:i/>
          <w:color w:val="000000"/>
          <w:vertAlign w:val="superscript"/>
        </w:rPr>
        <w:t>2</w:t>
      </w:r>
      <w:r w:rsidR="00810933" w:rsidRPr="0081093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Исайкина О.Я.</w:t>
      </w:r>
      <w:r w:rsidRPr="003B59DF">
        <w:rPr>
          <w:b/>
          <w:i/>
          <w:color w:val="000000"/>
          <w:vertAlign w:val="superscript"/>
        </w:rPr>
        <w:t>2</w:t>
      </w:r>
    </w:p>
    <w:p w14:paraId="12E787E6" w14:textId="77777777" w:rsidR="007E29B2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</w:t>
      </w:r>
      <w:r w:rsidRPr="00D635A3">
        <w:rPr>
          <w:i/>
          <w:color w:val="000000"/>
        </w:rPr>
        <w:t xml:space="preserve"> </w:t>
      </w:r>
      <w:r w:rsidRPr="00725248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магистратуры</w:t>
      </w:r>
    </w:p>
    <w:p w14:paraId="575547CA" w14:textId="77777777" w:rsidR="007E29B2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1C0635">
        <w:rPr>
          <w:i/>
          <w:iCs/>
          <w:color w:val="000000"/>
        </w:rPr>
        <w:t xml:space="preserve">Филиал </w:t>
      </w:r>
      <w:r>
        <w:rPr>
          <w:i/>
          <w:color w:val="000000"/>
        </w:rPr>
        <w:t>Московского государственного университета</w:t>
      </w:r>
      <w:r w:rsidRPr="001C0635">
        <w:rPr>
          <w:i/>
          <w:iCs/>
          <w:color w:val="000000"/>
        </w:rPr>
        <w:t xml:space="preserve"> имени М.В. Ломоносова в г. Баку,</w:t>
      </w:r>
      <w:r w:rsidRPr="00D635A3">
        <w:rPr>
          <w:i/>
          <w:iCs/>
          <w:color w:val="000000"/>
        </w:rPr>
        <w:t xml:space="preserve"> </w:t>
      </w:r>
      <w:r w:rsidRPr="001C0635">
        <w:rPr>
          <w:i/>
          <w:iCs/>
          <w:color w:val="000000"/>
        </w:rPr>
        <w:t>Баку</w:t>
      </w:r>
      <w:r>
        <w:rPr>
          <w:i/>
          <w:iCs/>
          <w:color w:val="000000"/>
        </w:rPr>
        <w:t xml:space="preserve">, </w:t>
      </w:r>
      <w:r w:rsidRPr="001C0635">
        <w:rPr>
          <w:i/>
          <w:iCs/>
          <w:color w:val="000000"/>
        </w:rPr>
        <w:t>Азербайджан</w:t>
      </w:r>
    </w:p>
    <w:p w14:paraId="7DAFE3ED" w14:textId="77777777" w:rsidR="007E29B2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Pr="003B59DF">
        <w:rPr>
          <w:i/>
          <w:color w:val="000000"/>
        </w:rPr>
        <w:t xml:space="preserve"> </w:t>
      </w:r>
      <w:r w:rsidRPr="00725248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134BC9F7" w14:textId="2669AFD3" w:rsidR="007E29B2" w:rsidRPr="00E31C97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7570">
        <w:rPr>
          <w:i/>
          <w:color w:val="000000"/>
          <w:lang w:val="en-US"/>
        </w:rPr>
        <w:t>E</w:t>
      </w:r>
      <w:r w:rsidRPr="00E31C97">
        <w:rPr>
          <w:i/>
          <w:color w:val="000000"/>
        </w:rPr>
        <w:t>-</w:t>
      </w:r>
      <w:r w:rsidRPr="00797570">
        <w:rPr>
          <w:i/>
          <w:color w:val="000000"/>
          <w:lang w:val="en-US"/>
        </w:rPr>
        <w:t>mail</w:t>
      </w:r>
      <w:r w:rsidRPr="00E31C97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jafarova</w:t>
      </w:r>
      <w:proofErr w:type="spellEnd"/>
      <w:r w:rsidRPr="00E31C97">
        <w:rPr>
          <w:i/>
          <w:color w:val="000000"/>
          <w:u w:val="single"/>
        </w:rPr>
        <w:t>_2002@</w:t>
      </w:r>
      <w:r>
        <w:rPr>
          <w:i/>
          <w:color w:val="000000"/>
          <w:u w:val="single"/>
          <w:lang w:val="en-US"/>
        </w:rPr>
        <w:t>mail</w:t>
      </w:r>
      <w:r w:rsidRPr="00E31C97">
        <w:rPr>
          <w:i/>
          <w:color w:val="000000"/>
          <w:u w:val="single"/>
        </w:rPr>
        <w:t>.</w:t>
      </w:r>
      <w:proofErr w:type="spellStart"/>
      <w:r>
        <w:rPr>
          <w:i/>
          <w:color w:val="000000"/>
          <w:u w:val="single"/>
          <w:lang w:val="en-US"/>
        </w:rPr>
        <w:t>ru</w:t>
      </w:r>
      <w:proofErr w:type="spellEnd"/>
    </w:p>
    <w:p w14:paraId="6F959F04" w14:textId="26D572CC" w:rsidR="007E29B2" w:rsidRPr="00E31C97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Медь является важным микроэлементом, и её ионы участвуют во многих физиологических процессах. Комплексы двухвалентной меди с некоторыми органическими карбоновыми кислотами обладают мощным противовоспалительным и </w:t>
      </w:r>
      <w:proofErr w:type="spellStart"/>
      <w:r>
        <w:rPr>
          <w:color w:val="000000"/>
        </w:rPr>
        <w:t>противоартритным</w:t>
      </w:r>
      <w:proofErr w:type="spellEnd"/>
      <w:r>
        <w:rPr>
          <w:color w:val="000000"/>
        </w:rPr>
        <w:t xml:space="preserve"> действием</w:t>
      </w:r>
      <w:r w:rsidRPr="00B92320">
        <w:rPr>
          <w:color w:val="000000"/>
        </w:rPr>
        <w:t xml:space="preserve"> </w:t>
      </w:r>
      <w:r>
        <w:rPr>
          <w:noProof/>
          <w:color w:val="000000"/>
        </w:rPr>
        <w:t>[1, 2]</w:t>
      </w:r>
      <w:r>
        <w:rPr>
          <w:color w:val="000000"/>
        </w:rPr>
        <w:t>. Сукцинат меди (</w:t>
      </w:r>
      <w:r>
        <w:rPr>
          <w:color w:val="000000"/>
          <w:lang w:val="en-US"/>
        </w:rPr>
        <w:t>II</w:t>
      </w:r>
      <w:r w:rsidRPr="00725248">
        <w:rPr>
          <w:color w:val="000000"/>
        </w:rPr>
        <w:t xml:space="preserve">) </w:t>
      </w:r>
      <w:r>
        <w:rPr>
          <w:color w:val="000000"/>
        </w:rPr>
        <w:t>рассматривается как перспективный лекарственный препарат и биологически-активная добавка в пищу людей и животных. Для получения и использования этого соединения необходимо иметь надежные данные о его растворимости. Имеющиеся литературные данные</w:t>
      </w:r>
      <w:r w:rsidR="00810933">
        <w:rPr>
          <w:color w:val="000000"/>
        </w:rPr>
        <w:t xml:space="preserve"> </w:t>
      </w:r>
      <w:r w:rsidR="00810933" w:rsidRPr="007E29B2">
        <w:rPr>
          <w:noProof/>
        </w:rPr>
        <w:t>[3, 4]</w:t>
      </w:r>
      <w:r>
        <w:rPr>
          <w:color w:val="000000"/>
        </w:rPr>
        <w:t xml:space="preserve"> по этому вопросу недостаточны и противор</w:t>
      </w:r>
      <w:r w:rsidRPr="007E29B2">
        <w:rPr>
          <w:color w:val="000000"/>
        </w:rPr>
        <w:t xml:space="preserve">ечивы. </w:t>
      </w:r>
    </w:p>
    <w:p w14:paraId="265ED994" w14:textId="421C5522" w:rsidR="007E29B2" w:rsidRPr="007E29B2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29B2">
        <w:rPr>
          <w:color w:val="000000"/>
        </w:rPr>
        <w:t>Целью нашей работы является исследование синтеза сукцината меди (</w:t>
      </w:r>
      <w:r w:rsidRPr="007E29B2">
        <w:rPr>
          <w:color w:val="000000"/>
          <w:lang w:val="en-US"/>
        </w:rPr>
        <w:t>II</w:t>
      </w:r>
      <w:r w:rsidRPr="007E29B2">
        <w:rPr>
          <w:color w:val="000000"/>
        </w:rPr>
        <w:t xml:space="preserve">) методом осаждения из водных растворов, и определение его растворимости в воде при различных температурах. Произведение растворимости находили путем обработки экспериментальных данных по </w:t>
      </w:r>
      <w:r w:rsidRPr="004B229A">
        <w:rPr>
          <w:color w:val="000000"/>
        </w:rPr>
        <w:t>потенциометрическо</w:t>
      </w:r>
      <w:r w:rsidR="00D83EBD">
        <w:rPr>
          <w:color w:val="000000"/>
        </w:rPr>
        <w:t>му</w:t>
      </w:r>
      <w:r w:rsidRPr="004B229A">
        <w:rPr>
          <w:color w:val="000000"/>
        </w:rPr>
        <w:t xml:space="preserve"> титрования с медным индикаторным электродом в системе </w:t>
      </w:r>
      <w:bookmarkStart w:id="1" w:name="_Hlk191506236"/>
      <w:r w:rsidRPr="004B229A">
        <w:rPr>
          <w:color w:val="000000"/>
        </w:rPr>
        <w:t>«</w:t>
      </w:r>
      <w:r w:rsidRPr="007E29B2">
        <w:rPr>
          <w:color w:val="000000"/>
        </w:rPr>
        <w:t xml:space="preserve">ионы </w:t>
      </w:r>
      <w:proofErr w:type="gramStart"/>
      <w:r w:rsidRPr="004B229A">
        <w:rPr>
          <w:color w:val="000000"/>
          <w:lang w:val="en-US"/>
        </w:rPr>
        <w:t>Cu</w:t>
      </w:r>
      <w:r w:rsidRPr="004B229A">
        <w:rPr>
          <w:color w:val="000000"/>
        </w:rPr>
        <w:t>(</w:t>
      </w:r>
      <w:proofErr w:type="gramEnd"/>
      <w:r w:rsidRPr="004B229A">
        <w:rPr>
          <w:color w:val="000000"/>
          <w:lang w:val="en-US"/>
        </w:rPr>
        <w:t>II</w:t>
      </w:r>
      <w:r w:rsidRPr="004B229A">
        <w:rPr>
          <w:color w:val="000000"/>
        </w:rPr>
        <w:t xml:space="preserve">) – </w:t>
      </w:r>
      <w:r w:rsidRPr="007E29B2">
        <w:rPr>
          <w:color w:val="000000"/>
        </w:rPr>
        <w:t>янтарн</w:t>
      </w:r>
      <w:r w:rsidRPr="004B229A">
        <w:rPr>
          <w:color w:val="000000"/>
        </w:rPr>
        <w:t>ая кислота в водном растворе»</w:t>
      </w:r>
      <w:bookmarkStart w:id="2" w:name="_Hlk191504882"/>
      <w:bookmarkEnd w:id="1"/>
      <w:r w:rsidRPr="004B229A">
        <w:rPr>
          <w:color w:val="000000"/>
        </w:rPr>
        <w:t>.</w:t>
      </w:r>
      <w:bookmarkEnd w:id="2"/>
      <w:r w:rsidRPr="004B229A">
        <w:rPr>
          <w:color w:val="000000"/>
        </w:rPr>
        <w:t xml:space="preserve"> </w:t>
      </w:r>
      <w:r w:rsidRPr="007E29B2">
        <w:rPr>
          <w:color w:val="000000"/>
        </w:rPr>
        <w:t>Для этого выполнили</w:t>
      </w:r>
      <w:r w:rsidRPr="004B229A">
        <w:rPr>
          <w:color w:val="000000"/>
        </w:rPr>
        <w:t xml:space="preserve"> теоретический </w:t>
      </w:r>
      <w:bookmarkStart w:id="3" w:name="_Hlk166450414"/>
      <w:r w:rsidRPr="004B229A">
        <w:rPr>
          <w:color w:val="000000"/>
        </w:rPr>
        <w:t xml:space="preserve">расчет равновесного состава растворов в </w:t>
      </w:r>
      <w:r w:rsidRPr="007E29B2">
        <w:rPr>
          <w:color w:val="000000"/>
        </w:rPr>
        <w:t xml:space="preserve">указанной </w:t>
      </w:r>
      <w:r w:rsidRPr="004B229A">
        <w:rPr>
          <w:color w:val="000000"/>
        </w:rPr>
        <w:t>системе</w:t>
      </w:r>
      <w:bookmarkEnd w:id="3"/>
      <w:r w:rsidRPr="004B229A">
        <w:rPr>
          <w:color w:val="000000"/>
        </w:rPr>
        <w:t xml:space="preserve"> и соответствующей кривой потенциометрического титрования; исследова</w:t>
      </w:r>
      <w:r w:rsidRPr="007E29B2">
        <w:rPr>
          <w:color w:val="000000"/>
        </w:rPr>
        <w:t>ли</w:t>
      </w:r>
      <w:r w:rsidRPr="004B229A">
        <w:rPr>
          <w:color w:val="000000"/>
        </w:rPr>
        <w:t xml:space="preserve"> чувствительност</w:t>
      </w:r>
      <w:r w:rsidRPr="007E29B2">
        <w:rPr>
          <w:color w:val="000000"/>
        </w:rPr>
        <w:t>ь</w:t>
      </w:r>
      <w:r w:rsidRPr="004B229A">
        <w:rPr>
          <w:color w:val="000000"/>
        </w:rPr>
        <w:t xml:space="preserve"> кривой титрования к параметрам расчета (константам устойчивости </w:t>
      </w:r>
      <w:proofErr w:type="spellStart"/>
      <w:r w:rsidRPr="004B229A">
        <w:rPr>
          <w:color w:val="000000"/>
        </w:rPr>
        <w:t>сукцинатных</w:t>
      </w:r>
      <w:proofErr w:type="spellEnd"/>
      <w:r w:rsidRPr="004B229A">
        <w:rPr>
          <w:color w:val="000000"/>
        </w:rPr>
        <w:t xml:space="preserve"> комплексов </w:t>
      </w:r>
      <w:r w:rsidRPr="004B229A">
        <w:rPr>
          <w:color w:val="000000"/>
          <w:lang w:val="en-US"/>
        </w:rPr>
        <w:t>Cu</w:t>
      </w:r>
      <w:r w:rsidRPr="004B229A">
        <w:rPr>
          <w:color w:val="000000"/>
        </w:rPr>
        <w:t>(</w:t>
      </w:r>
      <w:r w:rsidRPr="004B229A">
        <w:rPr>
          <w:color w:val="000000"/>
          <w:lang w:val="en-US"/>
        </w:rPr>
        <w:t>II</w:t>
      </w:r>
      <w:r w:rsidRPr="004B229A">
        <w:rPr>
          <w:color w:val="000000"/>
        </w:rPr>
        <w:t>) и произведению растворимости сукцината меди (</w:t>
      </w:r>
      <w:r w:rsidRPr="004B229A">
        <w:rPr>
          <w:color w:val="000000"/>
          <w:lang w:val="en-US"/>
        </w:rPr>
        <w:t>II</w:t>
      </w:r>
      <w:r w:rsidRPr="004B229A">
        <w:rPr>
          <w:color w:val="000000"/>
        </w:rPr>
        <w:t xml:space="preserve">); </w:t>
      </w:r>
      <w:r w:rsidRPr="007E29B2">
        <w:rPr>
          <w:color w:val="000000"/>
        </w:rPr>
        <w:t>получили</w:t>
      </w:r>
      <w:r w:rsidRPr="004B229A">
        <w:rPr>
          <w:color w:val="000000"/>
        </w:rPr>
        <w:t xml:space="preserve"> экспериментальны</w:t>
      </w:r>
      <w:r w:rsidRPr="007E29B2">
        <w:rPr>
          <w:color w:val="000000"/>
        </w:rPr>
        <w:t>е</w:t>
      </w:r>
      <w:r w:rsidRPr="004B229A">
        <w:rPr>
          <w:color w:val="000000"/>
        </w:rPr>
        <w:t xml:space="preserve"> кривы</w:t>
      </w:r>
      <w:r w:rsidRPr="007E29B2">
        <w:rPr>
          <w:color w:val="000000"/>
        </w:rPr>
        <w:t>е</w:t>
      </w:r>
      <w:r w:rsidRPr="004B229A">
        <w:rPr>
          <w:color w:val="000000"/>
        </w:rPr>
        <w:t xml:space="preserve"> титрования при различных температурах и определ</w:t>
      </w:r>
      <w:r w:rsidRPr="007E29B2">
        <w:rPr>
          <w:color w:val="000000"/>
        </w:rPr>
        <w:t>или</w:t>
      </w:r>
      <w:r w:rsidRPr="004B229A">
        <w:rPr>
          <w:color w:val="000000"/>
        </w:rPr>
        <w:t xml:space="preserve"> произведени</w:t>
      </w:r>
      <w:r w:rsidR="00E31C97">
        <w:rPr>
          <w:color w:val="000000"/>
        </w:rPr>
        <w:t>е</w:t>
      </w:r>
      <w:r w:rsidRPr="004B229A">
        <w:rPr>
          <w:color w:val="000000"/>
        </w:rPr>
        <w:t xml:space="preserve"> растворимости</w:t>
      </w:r>
      <w:r w:rsidRPr="007E29B2">
        <w:rPr>
          <w:color w:val="000000"/>
        </w:rPr>
        <w:t xml:space="preserve"> путем минимизации функционала расхождения между расчетными и экспериментальными кривыми. Обнаружили, что в интервале температур 21–40 °C произведение растворимости сукцината меди (</w:t>
      </w:r>
      <w:r w:rsidRPr="007E29B2">
        <w:rPr>
          <w:color w:val="000000"/>
          <w:lang w:val="en-US"/>
        </w:rPr>
        <w:t>II</w:t>
      </w:r>
      <w:r w:rsidRPr="007E29B2">
        <w:rPr>
          <w:color w:val="000000"/>
        </w:rPr>
        <w:t>) не зависит от температуры, а его десятичный логарифм имеет значение –6.675 ± 0.050.</w:t>
      </w:r>
    </w:p>
    <w:p w14:paraId="33CC4390" w14:textId="07D9B3A8" w:rsidR="007E29B2" w:rsidRPr="007E29B2" w:rsidRDefault="007E29B2" w:rsidP="00212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29B2">
        <w:rPr>
          <w:color w:val="000000"/>
        </w:rPr>
        <w:t>Состав осадка сукцината меди (</w:t>
      </w:r>
      <w:r w:rsidRPr="007E29B2">
        <w:rPr>
          <w:color w:val="000000"/>
          <w:lang w:val="en-US"/>
        </w:rPr>
        <w:t>II</w:t>
      </w:r>
      <w:r w:rsidRPr="007E29B2">
        <w:rPr>
          <w:color w:val="000000"/>
        </w:rPr>
        <w:t>) определяли методами термического анализа (</w:t>
      </w:r>
      <w:proofErr w:type="spellStart"/>
      <w:r w:rsidRPr="007E29B2">
        <w:rPr>
          <w:color w:val="000000"/>
        </w:rPr>
        <w:t>термогравиметрия</w:t>
      </w:r>
      <w:proofErr w:type="spellEnd"/>
      <w:r w:rsidRPr="007E29B2">
        <w:rPr>
          <w:color w:val="000000"/>
        </w:rPr>
        <w:t>) и спектроскопии комбинационного рассеяния. Осадок представляет собой дигидрат сукцината меди (</w:t>
      </w:r>
      <w:r w:rsidRPr="007E29B2">
        <w:rPr>
          <w:color w:val="000000"/>
          <w:lang w:val="en-US"/>
        </w:rPr>
        <w:t>II</w:t>
      </w:r>
      <w:r w:rsidRPr="007E29B2">
        <w:rPr>
          <w:color w:val="000000"/>
        </w:rPr>
        <w:t xml:space="preserve">) и имеет химическую формулу </w:t>
      </w:r>
      <w:proofErr w:type="spellStart"/>
      <w:r w:rsidRPr="007E29B2">
        <w:rPr>
          <w:color w:val="000000"/>
        </w:rPr>
        <w:t>CuC₄H₄O</w:t>
      </w:r>
      <w:proofErr w:type="spellEnd"/>
      <w:r w:rsidRPr="007E29B2">
        <w:rPr>
          <w:color w:val="000000"/>
        </w:rPr>
        <w:t xml:space="preserve">₄·2H₂O. </w:t>
      </w:r>
    </w:p>
    <w:p w14:paraId="09D70E4D" w14:textId="7ED5FCDD" w:rsidR="007E29B2" w:rsidRDefault="007E29B2" w:rsidP="00A44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E29B2">
        <w:rPr>
          <w:color w:val="000000"/>
        </w:rPr>
        <w:t xml:space="preserve">Общую концентрацию растворенной меди в системе </w:t>
      </w:r>
      <w:r w:rsidRPr="004B229A">
        <w:rPr>
          <w:color w:val="000000"/>
        </w:rPr>
        <w:t>«</w:t>
      </w:r>
      <w:r w:rsidRPr="007E29B2">
        <w:rPr>
          <w:color w:val="000000"/>
        </w:rPr>
        <w:t xml:space="preserve">ионы </w:t>
      </w:r>
      <w:proofErr w:type="gramStart"/>
      <w:r w:rsidRPr="004B229A">
        <w:rPr>
          <w:color w:val="000000"/>
          <w:lang w:val="en-US"/>
        </w:rPr>
        <w:t>Cu</w:t>
      </w:r>
      <w:r w:rsidRPr="004B229A">
        <w:rPr>
          <w:color w:val="000000"/>
        </w:rPr>
        <w:t>(</w:t>
      </w:r>
      <w:proofErr w:type="gramEnd"/>
      <w:r w:rsidRPr="004B229A">
        <w:rPr>
          <w:color w:val="000000"/>
          <w:lang w:val="en-US"/>
        </w:rPr>
        <w:t>II</w:t>
      </w:r>
      <w:r w:rsidRPr="004B229A">
        <w:rPr>
          <w:color w:val="000000"/>
        </w:rPr>
        <w:t xml:space="preserve">) – </w:t>
      </w:r>
      <w:r w:rsidRPr="007E29B2">
        <w:rPr>
          <w:color w:val="000000"/>
        </w:rPr>
        <w:t>янтарн</w:t>
      </w:r>
      <w:r w:rsidRPr="004B229A">
        <w:rPr>
          <w:color w:val="000000"/>
        </w:rPr>
        <w:t>ая кислота в водном растворе»</w:t>
      </w:r>
      <w:r w:rsidRPr="007E29B2">
        <w:rPr>
          <w:color w:val="000000"/>
        </w:rPr>
        <w:t xml:space="preserve"> находили методом фотометрической </w:t>
      </w:r>
      <w:proofErr w:type="spellStart"/>
      <w:r w:rsidRPr="007E29B2">
        <w:rPr>
          <w:color w:val="000000"/>
        </w:rPr>
        <w:t>иодометрии</w:t>
      </w:r>
      <w:proofErr w:type="spellEnd"/>
      <w:r w:rsidRPr="007E29B2">
        <w:rPr>
          <w:color w:val="000000"/>
        </w:rPr>
        <w:t xml:space="preserve">. Экспериментальные данные по растворимости практически совпадают с результатами расчета равновесного состава растворов при условии, что в расчете использована величина произведения растворимости, определенная в настоящей работе. </w:t>
      </w:r>
    </w:p>
    <w:p w14:paraId="7252A5C4" w14:textId="64C3DFF1" w:rsidR="00A44A7E" w:rsidRPr="00CF7FAA" w:rsidRDefault="00A44A7E" w:rsidP="00CF7F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CF7FAA">
        <w:rPr>
          <w:b/>
          <w:bCs/>
          <w:color w:val="000000"/>
        </w:rPr>
        <w:t>Литература</w:t>
      </w:r>
    </w:p>
    <w:p w14:paraId="1A4C42E4" w14:textId="0F76E3D6" w:rsidR="007E29B2" w:rsidRPr="007E29B2" w:rsidRDefault="007E29B2" w:rsidP="00CF7FAA">
      <w:pPr>
        <w:pStyle w:val="EndNoteBibliography"/>
        <w:jc w:val="both"/>
        <w:rPr>
          <w:szCs w:val="24"/>
        </w:rPr>
      </w:pPr>
      <w:r w:rsidRPr="007E29B2">
        <w:rPr>
          <w:szCs w:val="24"/>
        </w:rPr>
        <w:t xml:space="preserve">1.Sorenson J.R. </w:t>
      </w:r>
      <w:r w:rsidRPr="007E29B2">
        <w:rPr>
          <w:i/>
          <w:szCs w:val="24"/>
        </w:rPr>
        <w:t xml:space="preserve"> Copper chelates as possible active forms of the antiarthritic agents.</w:t>
      </w:r>
      <w:r w:rsidRPr="007E29B2">
        <w:rPr>
          <w:szCs w:val="24"/>
        </w:rPr>
        <w:t xml:space="preserve"> Journalofmedicinal chemistry, </w:t>
      </w:r>
      <w:r w:rsidRPr="007E29B2">
        <w:rPr>
          <w:b/>
          <w:szCs w:val="24"/>
        </w:rPr>
        <w:t>1976</w:t>
      </w:r>
      <w:r w:rsidRPr="007E29B2">
        <w:rPr>
          <w:szCs w:val="24"/>
        </w:rPr>
        <w:t>, 19(1): 135-148. DOI: 10.1021/jm00223a024</w:t>
      </w:r>
    </w:p>
    <w:p w14:paraId="7AAEF107" w14:textId="1A49F845" w:rsidR="007E29B2" w:rsidRPr="007E29B2" w:rsidRDefault="007E29B2" w:rsidP="00CF7FAA">
      <w:pPr>
        <w:pStyle w:val="EndNoteBibliography"/>
        <w:jc w:val="both"/>
        <w:rPr>
          <w:szCs w:val="24"/>
        </w:rPr>
      </w:pPr>
      <w:r w:rsidRPr="007E29B2">
        <w:rPr>
          <w:szCs w:val="24"/>
        </w:rPr>
        <w:t xml:space="preserve">2.Sorenson J.R.J., </w:t>
      </w:r>
      <w:r w:rsidRPr="007E29B2">
        <w:rPr>
          <w:i/>
          <w:szCs w:val="24"/>
        </w:rPr>
        <w:t>Copper Complexes – A Unique Class of Anti-Arthritic Drugs</w:t>
      </w:r>
      <w:r w:rsidRPr="007E29B2">
        <w:rPr>
          <w:szCs w:val="24"/>
        </w:rPr>
        <w:t xml:space="preserve">, in </w:t>
      </w:r>
      <w:r w:rsidRPr="007E29B2">
        <w:rPr>
          <w:i/>
          <w:szCs w:val="24"/>
        </w:rPr>
        <w:t>Progress in Medicinal Chemistry</w:t>
      </w:r>
      <w:r w:rsidRPr="007E29B2">
        <w:rPr>
          <w:szCs w:val="24"/>
        </w:rPr>
        <w:t xml:space="preserve">, </w:t>
      </w:r>
      <w:r>
        <w:rPr>
          <w:szCs w:val="24"/>
        </w:rPr>
        <w:t>V. 15. Amsterdam: N</w:t>
      </w:r>
      <w:r w:rsidRPr="00E31C97">
        <w:rPr>
          <w:szCs w:val="24"/>
        </w:rPr>
        <w:t>orth-</w:t>
      </w:r>
      <w:r>
        <w:rPr>
          <w:szCs w:val="24"/>
        </w:rPr>
        <w:t>H</w:t>
      </w:r>
      <w:r w:rsidRPr="00E31C97">
        <w:rPr>
          <w:szCs w:val="24"/>
        </w:rPr>
        <w:t xml:space="preserve">olland </w:t>
      </w:r>
      <w:r>
        <w:rPr>
          <w:szCs w:val="24"/>
        </w:rPr>
        <w:t>P</w:t>
      </w:r>
      <w:r w:rsidRPr="00E31C97">
        <w:rPr>
          <w:szCs w:val="24"/>
        </w:rPr>
        <w:t xml:space="preserve">ublishing </w:t>
      </w:r>
      <w:r>
        <w:rPr>
          <w:szCs w:val="24"/>
        </w:rPr>
        <w:t>Co.</w:t>
      </w:r>
      <w:r w:rsidRPr="007E29B2">
        <w:rPr>
          <w:szCs w:val="24"/>
        </w:rPr>
        <w:t>, 1978. p. 211-260.</w:t>
      </w:r>
    </w:p>
    <w:p w14:paraId="24618F55" w14:textId="22C62C0F" w:rsidR="007E29B2" w:rsidRPr="007E29B2" w:rsidRDefault="007E29B2" w:rsidP="00CF7FAA">
      <w:pPr>
        <w:pStyle w:val="EndNoteBibliography"/>
        <w:jc w:val="both"/>
        <w:rPr>
          <w:szCs w:val="24"/>
        </w:rPr>
      </w:pPr>
      <w:r w:rsidRPr="007E29B2">
        <w:rPr>
          <w:szCs w:val="24"/>
        </w:rPr>
        <w:t xml:space="preserve">3.Sobel S., Haigney A., Kim M., Kim D., Theophall G., Nuñez J., Williams D., Hickling B., Sinacori J. </w:t>
      </w:r>
      <w:r w:rsidRPr="007E29B2">
        <w:rPr>
          <w:i/>
          <w:szCs w:val="24"/>
        </w:rPr>
        <w:t xml:space="preserve"> The complexation of aqueous metal ions relevant to biological applications. 2. Reactions of copper(II) citrate and copper(II) succinate with selected amino acids.</w:t>
      </w:r>
      <w:r w:rsidRPr="007E29B2">
        <w:rPr>
          <w:szCs w:val="24"/>
        </w:rPr>
        <w:t xml:space="preserve"> Chemical Speciation &amp; Bioavailability, </w:t>
      </w:r>
      <w:r w:rsidRPr="007E29B2">
        <w:rPr>
          <w:b/>
          <w:szCs w:val="24"/>
        </w:rPr>
        <w:t>2010</w:t>
      </w:r>
      <w:r w:rsidRPr="007E29B2">
        <w:rPr>
          <w:szCs w:val="24"/>
        </w:rPr>
        <w:t>, 22(2): 109-114. DOI: 10.3184/095422910X12692705325385</w:t>
      </w:r>
    </w:p>
    <w:p w14:paraId="2E2FE826" w14:textId="27950FBF" w:rsidR="00E0569D" w:rsidRPr="00CF7FAA" w:rsidRDefault="007E29B2" w:rsidP="00CF7FAA">
      <w:pPr>
        <w:pStyle w:val="EndNoteBibliography"/>
        <w:jc w:val="both"/>
        <w:rPr>
          <w:szCs w:val="24"/>
          <w:lang w:val="ru-RU"/>
        </w:rPr>
      </w:pPr>
      <w:r w:rsidRPr="00D83EBD">
        <w:rPr>
          <w:szCs w:val="24"/>
        </w:rPr>
        <w:t>4.</w:t>
      </w:r>
      <w:r w:rsidRPr="00CF7FAA">
        <w:rPr>
          <w:szCs w:val="24"/>
          <w:lang w:val="ru-RU"/>
        </w:rPr>
        <w:t>Скорик</w:t>
      </w:r>
      <w:r w:rsidRPr="00D83EBD">
        <w:rPr>
          <w:szCs w:val="24"/>
        </w:rPr>
        <w:t xml:space="preserve"> </w:t>
      </w:r>
      <w:r w:rsidRPr="00CF7FAA">
        <w:rPr>
          <w:szCs w:val="24"/>
          <w:lang w:val="ru-RU"/>
        </w:rPr>
        <w:t>Н</w:t>
      </w:r>
      <w:r w:rsidRPr="00D83EBD">
        <w:rPr>
          <w:szCs w:val="24"/>
        </w:rPr>
        <w:t>.</w:t>
      </w:r>
      <w:r w:rsidRPr="00CF7FAA">
        <w:rPr>
          <w:szCs w:val="24"/>
          <w:lang w:val="ru-RU"/>
        </w:rPr>
        <w:t>А</w:t>
      </w:r>
      <w:r w:rsidRPr="00D83EBD">
        <w:rPr>
          <w:szCs w:val="24"/>
        </w:rPr>
        <w:t xml:space="preserve">., </w:t>
      </w:r>
      <w:r w:rsidRPr="00CF7FAA">
        <w:rPr>
          <w:szCs w:val="24"/>
          <w:lang w:val="ru-RU"/>
        </w:rPr>
        <w:t>Филиппова</w:t>
      </w:r>
      <w:r w:rsidRPr="00D83EBD">
        <w:rPr>
          <w:szCs w:val="24"/>
        </w:rPr>
        <w:t xml:space="preserve"> </w:t>
      </w:r>
      <w:r w:rsidRPr="00CF7FAA">
        <w:rPr>
          <w:szCs w:val="24"/>
          <w:lang w:val="ru-RU"/>
        </w:rPr>
        <w:t>М</w:t>
      </w:r>
      <w:r w:rsidRPr="00D83EBD">
        <w:rPr>
          <w:szCs w:val="24"/>
        </w:rPr>
        <w:t>.</w:t>
      </w:r>
      <w:r w:rsidRPr="00CF7FAA">
        <w:rPr>
          <w:szCs w:val="24"/>
          <w:lang w:val="ru-RU"/>
        </w:rPr>
        <w:t>М</w:t>
      </w:r>
      <w:r w:rsidRPr="00D83EBD">
        <w:rPr>
          <w:szCs w:val="24"/>
        </w:rPr>
        <w:t xml:space="preserve">., </w:t>
      </w:r>
      <w:r w:rsidRPr="00CF7FAA">
        <w:rPr>
          <w:szCs w:val="24"/>
          <w:lang w:val="ru-RU"/>
        </w:rPr>
        <w:t>Бухольцева</w:t>
      </w:r>
      <w:r w:rsidRPr="00D83EBD">
        <w:rPr>
          <w:szCs w:val="24"/>
        </w:rPr>
        <w:t xml:space="preserve"> </w:t>
      </w:r>
      <w:r w:rsidRPr="00CF7FAA">
        <w:rPr>
          <w:szCs w:val="24"/>
          <w:lang w:val="ru-RU"/>
        </w:rPr>
        <w:t>Е</w:t>
      </w:r>
      <w:r w:rsidRPr="00D83EBD">
        <w:rPr>
          <w:szCs w:val="24"/>
        </w:rPr>
        <w:t>.</w:t>
      </w:r>
      <w:r w:rsidRPr="00CF7FAA">
        <w:rPr>
          <w:szCs w:val="24"/>
          <w:lang w:val="ru-RU"/>
        </w:rPr>
        <w:t>И</w:t>
      </w:r>
      <w:r w:rsidRPr="00D83EBD">
        <w:rPr>
          <w:szCs w:val="24"/>
        </w:rPr>
        <w:t xml:space="preserve">., </w:t>
      </w:r>
      <w:r w:rsidRPr="00CF7FAA">
        <w:rPr>
          <w:szCs w:val="24"/>
          <w:lang w:val="ru-RU"/>
        </w:rPr>
        <w:t>Мальков</w:t>
      </w:r>
      <w:r w:rsidRPr="00D83EBD">
        <w:rPr>
          <w:szCs w:val="24"/>
        </w:rPr>
        <w:t xml:space="preserve"> </w:t>
      </w:r>
      <w:r w:rsidRPr="00CF7FAA">
        <w:rPr>
          <w:szCs w:val="24"/>
          <w:lang w:val="ru-RU"/>
        </w:rPr>
        <w:t>В</w:t>
      </w:r>
      <w:r w:rsidRPr="00D83EBD">
        <w:rPr>
          <w:szCs w:val="24"/>
        </w:rPr>
        <w:t>.</w:t>
      </w:r>
      <w:r w:rsidRPr="00CF7FAA">
        <w:rPr>
          <w:szCs w:val="24"/>
          <w:lang w:val="ru-RU"/>
        </w:rPr>
        <w:t>С</w:t>
      </w:r>
      <w:r w:rsidRPr="00D83EBD">
        <w:rPr>
          <w:szCs w:val="24"/>
        </w:rPr>
        <w:t xml:space="preserve">., </w:t>
      </w:r>
      <w:r w:rsidRPr="00CF7FAA">
        <w:rPr>
          <w:szCs w:val="24"/>
          <w:lang w:val="ru-RU"/>
        </w:rPr>
        <w:t>Курзина</w:t>
      </w:r>
      <w:r w:rsidRPr="00D83EBD">
        <w:rPr>
          <w:szCs w:val="24"/>
        </w:rPr>
        <w:t xml:space="preserve"> </w:t>
      </w:r>
      <w:r w:rsidRPr="00CF7FAA">
        <w:rPr>
          <w:szCs w:val="24"/>
          <w:lang w:val="ru-RU"/>
        </w:rPr>
        <w:t>И</w:t>
      </w:r>
      <w:r w:rsidRPr="00D83EBD">
        <w:rPr>
          <w:szCs w:val="24"/>
        </w:rPr>
        <w:t>.</w:t>
      </w:r>
      <w:r w:rsidRPr="00CF7FAA">
        <w:rPr>
          <w:szCs w:val="24"/>
          <w:lang w:val="ru-RU"/>
        </w:rPr>
        <w:t>А</w:t>
      </w:r>
      <w:r w:rsidRPr="00D83EBD">
        <w:rPr>
          <w:szCs w:val="24"/>
        </w:rPr>
        <w:t xml:space="preserve">. </w:t>
      </w:r>
      <w:r w:rsidRPr="00D83EBD">
        <w:rPr>
          <w:i/>
          <w:szCs w:val="24"/>
        </w:rPr>
        <w:t xml:space="preserve"> </w:t>
      </w:r>
      <w:r w:rsidRPr="00E31C97">
        <w:rPr>
          <w:i/>
          <w:szCs w:val="24"/>
          <w:lang w:val="ru-RU"/>
        </w:rPr>
        <w:t>Соединения кобальта(</w:t>
      </w:r>
      <w:r w:rsidRPr="007E29B2">
        <w:rPr>
          <w:i/>
          <w:szCs w:val="24"/>
        </w:rPr>
        <w:t>II</w:t>
      </w:r>
      <w:r w:rsidRPr="00E31C97">
        <w:rPr>
          <w:i/>
          <w:szCs w:val="24"/>
          <w:lang w:val="ru-RU"/>
        </w:rPr>
        <w:t>) и меди(</w:t>
      </w:r>
      <w:r w:rsidRPr="007E29B2">
        <w:rPr>
          <w:i/>
          <w:szCs w:val="24"/>
        </w:rPr>
        <w:t>II</w:t>
      </w:r>
      <w:r w:rsidRPr="00E31C97">
        <w:rPr>
          <w:i/>
          <w:szCs w:val="24"/>
          <w:lang w:val="ru-RU"/>
        </w:rPr>
        <w:t>) с карбоновыми кислотами, имидазолом и 2-метилимидазолом.</w:t>
      </w:r>
      <w:r w:rsidRPr="00E31C97">
        <w:rPr>
          <w:szCs w:val="24"/>
          <w:lang w:val="ru-RU"/>
        </w:rPr>
        <w:t xml:space="preserve"> </w:t>
      </w:r>
      <w:r w:rsidRPr="00CF7FAA">
        <w:rPr>
          <w:szCs w:val="24"/>
          <w:lang w:val="ru-RU"/>
        </w:rPr>
        <w:t xml:space="preserve">Ж. неорганич. химии, </w:t>
      </w:r>
      <w:r w:rsidRPr="00CF7FAA">
        <w:rPr>
          <w:b/>
          <w:szCs w:val="24"/>
          <w:lang w:val="ru-RU"/>
        </w:rPr>
        <w:t>2015</w:t>
      </w:r>
      <w:r w:rsidRPr="00CF7FAA">
        <w:rPr>
          <w:szCs w:val="24"/>
          <w:lang w:val="ru-RU"/>
        </w:rPr>
        <w:t xml:space="preserve">, 60(6): 806-812. </w:t>
      </w:r>
    </w:p>
    <w:sectPr w:rsidR="00E0569D" w:rsidRPr="00CF7FAA" w:rsidSect="000700D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E29B2"/>
    <w:rsid w:val="000700D9"/>
    <w:rsid w:val="00080564"/>
    <w:rsid w:val="001635DD"/>
    <w:rsid w:val="00212FE8"/>
    <w:rsid w:val="00316621"/>
    <w:rsid w:val="00475AE3"/>
    <w:rsid w:val="007848AF"/>
    <w:rsid w:val="007E29B2"/>
    <w:rsid w:val="00810933"/>
    <w:rsid w:val="00932A24"/>
    <w:rsid w:val="00A44A7E"/>
    <w:rsid w:val="00A93E2F"/>
    <w:rsid w:val="00CA45BF"/>
    <w:rsid w:val="00CF7FAA"/>
    <w:rsid w:val="00D123F9"/>
    <w:rsid w:val="00D83EBD"/>
    <w:rsid w:val="00E0569D"/>
    <w:rsid w:val="00E31C97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155"/>
  <w15:chartTrackingRefBased/>
  <w15:docId w15:val="{C367435D-EA69-4D0B-AED6-AE6C7DD5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B2"/>
    <w:pPr>
      <w:spacing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9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B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9B2"/>
    <w:rPr>
      <w:rFonts w:eastAsia="Times New Roman"/>
      <w:b/>
      <w:kern w:val="0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E29B2"/>
    <w:rPr>
      <w:rFonts w:eastAsia="Times New Roman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E29B2"/>
    <w:rPr>
      <w:rFonts w:eastAsia="Times New Roman"/>
      <w:b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E29B2"/>
    <w:rPr>
      <w:rFonts w:eastAsia="Times New Roman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E29B2"/>
    <w:rPr>
      <w:rFonts w:eastAsia="Times New Roman"/>
      <w:b/>
      <w:kern w:val="0"/>
      <w:sz w:val="22"/>
      <w:szCs w:val="22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E29B2"/>
    <w:rPr>
      <w:rFonts w:eastAsia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E29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9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9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9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7E29B2"/>
    <w:rPr>
      <w:rFonts w:eastAsia="Times New Roman"/>
      <w:b/>
      <w:kern w:val="0"/>
      <w:sz w:val="72"/>
      <w:szCs w:val="72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E2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7E29B2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E2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9B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E29B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E29B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E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E29B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E29B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7E29B2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7E29B2"/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7E29B2"/>
    <w:rPr>
      <w:color w:val="808080"/>
    </w:rPr>
  </w:style>
  <w:style w:type="paragraph" w:styleId="ae">
    <w:name w:val="No Spacing"/>
    <w:uiPriority w:val="1"/>
    <w:qFormat/>
    <w:rsid w:val="007E29B2"/>
    <w:pPr>
      <w:spacing w:line="240" w:lineRule="auto"/>
    </w:pPr>
    <w:rPr>
      <w:rFonts w:ascii="Calibri" w:eastAsia="Calibri" w:hAnsi="Calibri"/>
      <w:kern w:val="0"/>
      <w:sz w:val="22"/>
      <w:szCs w:val="22"/>
      <w:lang w:val="en-US" w:bidi="en-US"/>
      <w14:ligatures w14:val="none"/>
    </w:rPr>
  </w:style>
  <w:style w:type="character" w:styleId="af">
    <w:name w:val="Hyperlink"/>
    <w:basedOn w:val="a0"/>
    <w:uiPriority w:val="99"/>
    <w:unhideWhenUsed/>
    <w:rsid w:val="007E29B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E29B2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E29B2"/>
    <w:pPr>
      <w:spacing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7E29B2"/>
    <w:rPr>
      <w:rFonts w:eastAsiaTheme="minorHAnsi"/>
      <w:noProof/>
      <w:szCs w:val="28"/>
      <w:lang w:val="en-US" w:eastAsia="en-US"/>
    </w:rPr>
  </w:style>
  <w:style w:type="character" w:customStyle="1" w:styleId="EndNoteBibliography0">
    <w:name w:val="EndNote Bibliography Знак"/>
    <w:basedOn w:val="a0"/>
    <w:link w:val="EndNoteBibliography"/>
    <w:rsid w:val="007E29B2"/>
    <w:rPr>
      <w:noProof/>
      <w:kern w:val="0"/>
      <w:sz w:val="24"/>
      <w:lang w:val="en-US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7E29B2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7E29B2"/>
    <w:rPr>
      <w:rFonts w:eastAsia="Times New Roman"/>
      <w:noProof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2025-03-01T17:55:00Z</dcterms:created>
  <dcterms:modified xsi:type="dcterms:W3CDTF">2025-03-01T17:55:00Z</dcterms:modified>
</cp:coreProperties>
</file>