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 и определение энтальпии образования соединения MIL-53(Al)</w:t>
      </w:r>
    </w:p>
    <w:p w14:paraId="00000002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Моргунова М.А.</w:t>
      </w:r>
    </w:p>
    <w:p w14:paraId="00000003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5 курс специалитета</w:t>
      </w:r>
    </w:p>
    <w:p w14:paraId="00000004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00000005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rmorgunova55@gmail.com</w:t>
      </w:r>
      <w:r>
        <w:rPr>
          <w:i/>
          <w:color w:val="000000"/>
        </w:rPr>
        <w:t xml:space="preserve"> </w:t>
      </w:r>
    </w:p>
    <w:p w14:paraId="00000006" w14:textId="4131A2C6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Металлорганические каркасные структуры (МОКС) активно изучают последнее десятилетие, так как </w:t>
      </w:r>
      <w:r w:rsidR="00250297">
        <w:rPr>
          <w:color w:val="000000"/>
        </w:rPr>
        <w:t xml:space="preserve">они </w:t>
      </w:r>
      <w:r>
        <w:rPr>
          <w:color w:val="000000"/>
        </w:rPr>
        <w:t>представляют интерес не только с точки зрения фундаментальной науки, но и благодаря перспективе их широкого практического применения в различных областях: адсорбции, разделении, электро- и фотокатализе, в качестве электропроводящих материалов, сенсоров и др. МОКС представляет собой трёхмерную каркасную пористую структуру, звеньями которой служат органические линкеры, связанные между собой при помощи ионов металлов [1–4].</w:t>
      </w:r>
    </w:p>
    <w:p w14:paraId="00000007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Среди множества известных МОКС есть подгруппа так называемых структурно-нежестких каркасных соединений, которые обладают уникальным свойством менять пористость в ходе кооперативных структурных превращений, вызываемых внешним физическим или химическим воздействием (например, нагреванием, внешним давлением, механическим воздействием, облучением, действием электромагнитного поля, сорбцией молекул). Большинство таких фазовых превращений структурно-нежестких МОКС стимулируются адсорбцией/десорбцией гостевых молекул, так называемый эффект «дыхания». Представителем таких соединений является MIL-53(Al), образующийся в реакции алюминия и азелаиновой кислоты. Он показывает высокую термическую стабильность, а при нагревании претерпевает фазовый переход. </w:t>
      </w:r>
    </w:p>
    <w:p w14:paraId="00000008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Однако для термически-индуцированных превращений структурно-нежестких МОКС большинство исследовательских работ ограничивается термогравиметрическим анализом, который хоть и позволяет выявить некоторые температуры фазовых переходов, не дает представления о вызванных структурных изменениях. В целом термодинамические свойства МОКС изучены крайне мало, особенно с использованием калориметрических методов. </w:t>
      </w:r>
    </w:p>
    <w:p w14:paraId="00000009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связи с этим актуальной задачей является исследование термически-индуцированных фазовых превращений структурно-нежестких МОКС прецизионными калориметрическими методами с одновременным контролем фазового состава и морфологии МОКС.</w:t>
      </w:r>
    </w:p>
    <w:p w14:paraId="0000000A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был осуществлён синтез МОКС MIL-53(Al) с азелаиновым линкером. Образец был охарактеризован методами рентгенофазового анализа, ИК спектроскопии и растровой электронной микроскопии. Методом калориметрии сгорания была о</w:t>
      </w:r>
      <w:r>
        <w:t>пределена энтальпия образования полученного соединения.</w:t>
      </w:r>
    </w:p>
    <w:p w14:paraId="0000000B" w14:textId="77777777" w:rsidR="005C2B0C" w:rsidRDefault="005C2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C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0D" w14:textId="77777777" w:rsidR="005C2B0C" w:rsidRPr="0025029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S. </w:t>
      </w:r>
      <w:proofErr w:type="spellStart"/>
      <w:r>
        <w:rPr>
          <w:color w:val="000000"/>
        </w:rPr>
        <w:t>Yuan</w:t>
      </w:r>
      <w:proofErr w:type="spellEnd"/>
      <w:r>
        <w:rPr>
          <w:color w:val="000000"/>
        </w:rPr>
        <w:t xml:space="preserve">. L. </w:t>
      </w:r>
      <w:proofErr w:type="spellStart"/>
      <w:r>
        <w:rPr>
          <w:color w:val="000000"/>
        </w:rPr>
        <w:t>Feng</w:t>
      </w:r>
      <w:proofErr w:type="spellEnd"/>
      <w:r>
        <w:rPr>
          <w:color w:val="000000"/>
        </w:rPr>
        <w:t xml:space="preserve">. K. </w:t>
      </w:r>
      <w:proofErr w:type="spellStart"/>
      <w:r>
        <w:rPr>
          <w:color w:val="000000"/>
        </w:rPr>
        <w:t>Wang</w:t>
      </w:r>
      <w:proofErr w:type="spellEnd"/>
      <w:r>
        <w:rPr>
          <w:color w:val="000000"/>
        </w:rPr>
        <w:t xml:space="preserve">. J. </w:t>
      </w:r>
      <w:proofErr w:type="spellStart"/>
      <w:r>
        <w:rPr>
          <w:color w:val="000000"/>
        </w:rPr>
        <w:t>Pang</w:t>
      </w:r>
      <w:proofErr w:type="spellEnd"/>
      <w:r>
        <w:rPr>
          <w:color w:val="000000"/>
        </w:rPr>
        <w:t xml:space="preserve">. M. Bosch. </w:t>
      </w:r>
      <w:r w:rsidRPr="00250297">
        <w:rPr>
          <w:color w:val="000000"/>
          <w:lang w:val="en-US"/>
        </w:rPr>
        <w:t>C. Lollar. Y. Sun. J. Qin. X. Yang. P. Zhang. Q. Wang. L. Zou. Y. Zhang. L. Zhang. Y. Fang. J. Li. H.-C. Zhou. Stable Metal-Organic Frameworks: Design. Synthesis. and Applications. Advanced Materials. 30 (2018) 1704303.</w:t>
      </w:r>
    </w:p>
    <w:p w14:paraId="0000000E" w14:textId="77777777" w:rsidR="005C2B0C" w:rsidRPr="0025029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250297">
        <w:rPr>
          <w:color w:val="000000"/>
          <w:lang w:val="en-US"/>
        </w:rPr>
        <w:t xml:space="preserve">2. </w:t>
      </w:r>
      <w:r w:rsidRPr="00250297">
        <w:rPr>
          <w:lang w:val="en-US"/>
        </w:rPr>
        <w:t>L. Jiao. Y. Wang. H.-L. Jiang. Q. Xu. Metal-Organic Frameworks as Platforms for Catalytic Applications. Adv. Mater. 30 (2018) 1703663.</w:t>
      </w:r>
    </w:p>
    <w:p w14:paraId="0000000F" w14:textId="77777777" w:rsidR="005C2B0C" w:rsidRPr="0025029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250297">
        <w:rPr>
          <w:lang w:val="en-US"/>
        </w:rPr>
        <w:t>3. C.A. Trickett. A. Helal. B.A. Al-</w:t>
      </w:r>
      <w:proofErr w:type="spellStart"/>
      <w:r w:rsidRPr="00250297">
        <w:rPr>
          <w:lang w:val="en-US"/>
        </w:rPr>
        <w:t>Maythalony</w:t>
      </w:r>
      <w:proofErr w:type="spellEnd"/>
      <w:r w:rsidRPr="00250297">
        <w:rPr>
          <w:lang w:val="en-US"/>
        </w:rPr>
        <w:t>. Z.H. Yamani. K.E. Cordova. O.M. Yaghi. The chemistry of metal–organic frameworks for CO2 capture. regeneration and conversion. Nat Rev Mater. 2 (2017) 17045.</w:t>
      </w:r>
    </w:p>
    <w:p w14:paraId="00000010" w14:textId="77777777" w:rsidR="005C2B0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50297">
        <w:rPr>
          <w:lang w:val="en-US"/>
        </w:rPr>
        <w:t xml:space="preserve">4. Y. Zhang. S. Yuan. G. Day. X. Wang. X. Yang. H.-C. Zhou. Luminescent </w:t>
      </w:r>
      <w:proofErr w:type="spellStart"/>
      <w:r w:rsidRPr="00250297">
        <w:rPr>
          <w:lang w:val="en-US"/>
        </w:rPr>
        <w:t>sen-sors</w:t>
      </w:r>
      <w:proofErr w:type="spellEnd"/>
      <w:r w:rsidRPr="00250297">
        <w:rPr>
          <w:lang w:val="en-US"/>
        </w:rPr>
        <w:t xml:space="preserve"> based on metal-organic frameworks.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Reviews</w:t>
      </w:r>
      <w:proofErr w:type="spellEnd"/>
      <w:r>
        <w:t>. 354 (2018) 28–45.</w:t>
      </w:r>
    </w:p>
    <w:sectPr w:rsidR="005C2B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0C"/>
    <w:rsid w:val="00250297"/>
    <w:rsid w:val="0046613D"/>
    <w:rsid w:val="005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AB0"/>
  <w15:docId w15:val="{B77C0C80-7337-43B2-BC10-895319B1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 Моргунова</cp:lastModifiedBy>
  <cp:revision>2</cp:revision>
  <dcterms:created xsi:type="dcterms:W3CDTF">2025-03-08T16:35:00Z</dcterms:created>
  <dcterms:modified xsi:type="dcterms:W3CDTF">2025-03-08T16:35:00Z</dcterms:modified>
</cp:coreProperties>
</file>