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0D2B605" w:rsidR="00130241" w:rsidRPr="00C24929" w:rsidRDefault="002C061A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Реакции комплексообразования декагаллоилглюкозы с фенолкарбоновыми кислотами</w:t>
      </w:r>
      <w:r w:rsidR="00CE7D3B">
        <w:rPr>
          <w:b/>
          <w:color w:val="000000"/>
        </w:rPr>
        <w:t xml:space="preserve"> и их производными</w:t>
      </w:r>
    </w:p>
    <w:p w14:paraId="00000002" w14:textId="275743C4" w:rsidR="00130241" w:rsidRDefault="00546F3F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Михайлова Н.В</w:t>
      </w:r>
      <w:r w:rsidR="00EB1F49">
        <w:rPr>
          <w:b/>
          <w:i/>
          <w:color w:val="000000"/>
        </w:rPr>
        <w:t>.</w:t>
      </w:r>
    </w:p>
    <w:p w14:paraId="00000003" w14:textId="5156B59C" w:rsidR="00130241" w:rsidRDefault="00EB1F49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7E7EB7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335E6A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C4214B">
        <w:rPr>
          <w:i/>
          <w:color w:val="000000"/>
        </w:rPr>
        <w:t>магистратуры</w:t>
      </w:r>
    </w:p>
    <w:p w14:paraId="00000007" w14:textId="4A845758" w:rsidR="00130241" w:rsidRPr="00C4214B" w:rsidRDefault="00546F3F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Донецкий государственный университет, </w:t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Донецк</w:t>
      </w:r>
      <w:r w:rsidR="00EB1F49">
        <w:rPr>
          <w:i/>
          <w:color w:val="000000"/>
        </w:rPr>
        <w:t>, Россия</w:t>
      </w:r>
    </w:p>
    <w:p w14:paraId="68555CE6" w14:textId="05B8F364" w:rsidR="009F3380" w:rsidRPr="00580785" w:rsidRDefault="00EB1F49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Cs/>
          <w:color w:val="000000"/>
          <w:lang w:val="de-DE"/>
        </w:rPr>
      </w:pPr>
      <w:r w:rsidRPr="00580785">
        <w:rPr>
          <w:iCs/>
          <w:color w:val="000000"/>
          <w:lang w:val="de-DE"/>
        </w:rPr>
        <w:t>E</w:t>
      </w:r>
      <w:r w:rsidR="003B76D6" w:rsidRPr="00580785">
        <w:rPr>
          <w:iCs/>
          <w:color w:val="000000"/>
          <w:lang w:val="de-DE"/>
        </w:rPr>
        <w:t>-</w:t>
      </w:r>
      <w:r w:rsidRPr="00580785">
        <w:rPr>
          <w:iCs/>
          <w:color w:val="000000"/>
          <w:lang w:val="de-DE"/>
        </w:rPr>
        <w:t xml:space="preserve">mail: </w:t>
      </w:r>
      <w:r w:rsidR="008C1974" w:rsidRPr="00580785">
        <w:rPr>
          <w:iCs/>
          <w:color w:val="000000"/>
          <w:u w:val="single"/>
          <w:lang w:val="de-DE"/>
        </w:rPr>
        <w:t>natasha.mikhaylova.2001@mail.ru</w:t>
      </w:r>
    </w:p>
    <w:p w14:paraId="0B9835B0" w14:textId="6848164D" w:rsidR="008E7235" w:rsidRPr="00580785" w:rsidRDefault="00406F40" w:rsidP="00A02B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580785">
        <w:rPr>
          <w:iCs/>
          <w:color w:val="000000"/>
        </w:rPr>
        <w:t xml:space="preserve">Целью данной работы является </w:t>
      </w:r>
      <w:r w:rsidR="00866118" w:rsidRPr="00580785">
        <w:rPr>
          <w:rFonts w:eastAsia="Calibri"/>
          <w:iCs/>
          <w:lang w:eastAsia="en-US"/>
        </w:rPr>
        <w:t xml:space="preserve">исследование </w:t>
      </w:r>
      <w:r w:rsidR="000521C2">
        <w:rPr>
          <w:rFonts w:eastAsia="Calibri"/>
          <w:iCs/>
          <w:lang w:eastAsia="en-US"/>
        </w:rPr>
        <w:t>реакций комплексообразования</w:t>
      </w:r>
      <w:r w:rsidR="00866118" w:rsidRPr="00580785">
        <w:rPr>
          <w:rFonts w:eastAsia="Calibri"/>
          <w:iCs/>
          <w:lang w:eastAsia="en-US"/>
        </w:rPr>
        <w:t xml:space="preserve"> декагаллоилглюкозы </w:t>
      </w:r>
      <w:r w:rsidR="00866118" w:rsidRPr="00580785">
        <w:rPr>
          <w:rFonts w:eastAsia="Calibri"/>
          <w:iCs/>
        </w:rPr>
        <w:t>(</w:t>
      </w:r>
      <m:oMath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DGG</m:t>
        </m:r>
      </m:oMath>
      <w:r w:rsidR="00866118" w:rsidRPr="00580785">
        <w:rPr>
          <w:rFonts w:eastAsia="Calibri"/>
          <w:iCs/>
        </w:rPr>
        <w:t>)</w:t>
      </w:r>
      <w:r w:rsidR="000521C2">
        <w:rPr>
          <w:rFonts w:eastAsia="Calibri"/>
          <w:iCs/>
        </w:rPr>
        <w:t xml:space="preserve"> в смесях </w:t>
      </w:r>
      <w:r w:rsidR="000521C2">
        <w:rPr>
          <w:rFonts w:eastAsia="Calibri"/>
          <w:iCs/>
          <w:lang w:eastAsia="en-US"/>
        </w:rPr>
        <w:t xml:space="preserve">с </w:t>
      </w:r>
      <w:r w:rsidR="00866118" w:rsidRPr="00580785">
        <w:rPr>
          <w:rFonts w:eastAsia="Calibri"/>
          <w:iCs/>
          <w:lang w:eastAsia="en-US"/>
        </w:rPr>
        <w:t>растительны</w:t>
      </w:r>
      <w:r w:rsidR="00CE7D3B" w:rsidRPr="00580785">
        <w:rPr>
          <w:rFonts w:eastAsia="Calibri"/>
          <w:iCs/>
          <w:lang w:eastAsia="en-US"/>
        </w:rPr>
        <w:t>ми</w:t>
      </w:r>
      <w:r w:rsidR="00866118" w:rsidRPr="00580785">
        <w:rPr>
          <w:rFonts w:eastAsia="Calibri"/>
          <w:iCs/>
          <w:lang w:eastAsia="en-US"/>
        </w:rPr>
        <w:t xml:space="preserve"> фенолкарбоновы</w:t>
      </w:r>
      <w:r w:rsidR="00CE7D3B" w:rsidRPr="00580785">
        <w:rPr>
          <w:rFonts w:eastAsia="Calibri"/>
          <w:iCs/>
          <w:lang w:eastAsia="en-US"/>
        </w:rPr>
        <w:t>ми</w:t>
      </w:r>
      <w:r w:rsidR="00866118" w:rsidRPr="00580785">
        <w:rPr>
          <w:rFonts w:eastAsia="Calibri"/>
          <w:iCs/>
          <w:lang w:eastAsia="en-US"/>
        </w:rPr>
        <w:t xml:space="preserve"> кислот</w:t>
      </w:r>
      <w:r w:rsidR="00CE7D3B" w:rsidRPr="00580785">
        <w:rPr>
          <w:rFonts w:eastAsia="Calibri"/>
          <w:iCs/>
          <w:lang w:eastAsia="en-US"/>
        </w:rPr>
        <w:t>ами</w:t>
      </w:r>
      <w:r w:rsidR="00866118" w:rsidRPr="00580785">
        <w:rPr>
          <w:rFonts w:eastAsia="Calibri"/>
          <w:iCs/>
          <w:lang w:eastAsia="en-US"/>
        </w:rPr>
        <w:t xml:space="preserve"> и их производны</w:t>
      </w:r>
      <w:r w:rsidR="00E94A6F" w:rsidRPr="00580785">
        <w:rPr>
          <w:rFonts w:eastAsia="Calibri"/>
          <w:iCs/>
          <w:lang w:eastAsia="en-US"/>
        </w:rPr>
        <w:t>ми (</w:t>
      </w:r>
      <m:oMath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OH</m:t>
        </m:r>
      </m:oMath>
      <w:r w:rsidR="00E94A6F" w:rsidRPr="00580785">
        <w:rPr>
          <w:rFonts w:eastAsia="Calibri"/>
          <w:iCs/>
          <w:lang w:eastAsia="en-US"/>
        </w:rPr>
        <w:t>)</w:t>
      </w:r>
      <w:r w:rsidR="000521C2">
        <w:rPr>
          <w:rFonts w:eastAsia="Calibri"/>
          <w:iCs/>
          <w:lang w:eastAsia="en-US"/>
        </w:rPr>
        <w:t xml:space="preserve">, а также изучение влияния указанного процесса на антирадикальную активность </w:t>
      </w:r>
      <w:r w:rsidR="0028645F">
        <w:rPr>
          <w:rFonts w:eastAsia="Calibri"/>
          <w:iCs/>
          <w:lang w:eastAsia="en-US"/>
        </w:rPr>
        <w:t>таннин-</w:t>
      </w:r>
      <w:r w:rsidR="000521C2">
        <w:rPr>
          <w:rFonts w:eastAsia="Calibri"/>
          <w:iCs/>
          <w:lang w:eastAsia="en-US"/>
        </w:rPr>
        <w:t>фенольных композиций</w:t>
      </w:r>
      <w:r w:rsidR="000960A0">
        <w:rPr>
          <w:rFonts w:eastAsia="Calibri"/>
          <w:iCs/>
          <w:lang w:eastAsia="en-US"/>
        </w:rPr>
        <w:t xml:space="preserve"> (</w:t>
      </w:r>
      <m:oMath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DGG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-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OH</m:t>
        </m:r>
      </m:oMath>
      <w:r w:rsidR="000960A0">
        <w:rPr>
          <w:rFonts w:eastAsia="Calibri"/>
          <w:iCs/>
          <w:lang w:eastAsia="en-US"/>
        </w:rPr>
        <w:t>)</w:t>
      </w:r>
      <w:r w:rsidR="00866118" w:rsidRPr="00580785">
        <w:rPr>
          <w:rFonts w:eastAsia="Calibri"/>
          <w:iCs/>
          <w:lang w:eastAsia="en-US"/>
        </w:rPr>
        <w:t>.</w:t>
      </w:r>
    </w:p>
    <w:p w14:paraId="3041F08E" w14:textId="3A9A7AE6" w:rsidR="00580785" w:rsidRDefault="00040499" w:rsidP="00713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С использованием </w:t>
      </w:r>
      <w:r w:rsidR="00335E6A" w:rsidRPr="00580785">
        <w:rPr>
          <w:iCs/>
          <w:color w:val="000000"/>
        </w:rPr>
        <w:t>ЯМР-</w:t>
      </w:r>
      <w:r w:rsidR="00E94A6F" w:rsidRPr="00580785">
        <w:rPr>
          <w:iCs/>
          <w:color w:val="000000"/>
        </w:rPr>
        <w:t>, ИК-Фурье- и УФ-</w:t>
      </w:r>
      <w:r w:rsidR="00335E6A" w:rsidRPr="00580785">
        <w:rPr>
          <w:iCs/>
          <w:color w:val="000000"/>
        </w:rPr>
        <w:t>спектроскопии</w:t>
      </w:r>
      <w:r w:rsidR="00CA6110" w:rsidRPr="00580785">
        <w:rPr>
          <w:iCs/>
          <w:color w:val="000000"/>
        </w:rPr>
        <w:t xml:space="preserve"> зарегистрировано</w:t>
      </w:r>
      <w:r w:rsidR="00E94A6F" w:rsidRPr="00580785">
        <w:rPr>
          <w:iCs/>
          <w:color w:val="000000"/>
        </w:rPr>
        <w:t xml:space="preserve"> образование водородносвязанных</w:t>
      </w:r>
      <w:r w:rsidR="00F90434" w:rsidRPr="00580785">
        <w:rPr>
          <w:iCs/>
          <w:color w:val="000000"/>
        </w:rPr>
        <w:t xml:space="preserve"> </w:t>
      </w:r>
      <w:r w:rsidR="00E94A6F" w:rsidRPr="00580785">
        <w:rPr>
          <w:iCs/>
          <w:color w:val="000000"/>
        </w:rPr>
        <w:t>комплексов в композициях</w:t>
      </w:r>
      <w:r w:rsidR="00F90434" w:rsidRPr="00580785">
        <w:rPr>
          <w:iCs/>
          <w:color w:val="000000"/>
        </w:rPr>
        <w:t xml:space="preserve"> </w:t>
      </w:r>
      <w:r w:rsidR="00F90434" w:rsidRPr="00580785">
        <w:rPr>
          <w:iCs/>
          <w:color w:val="000000"/>
          <w:lang w:val="en-US"/>
        </w:rPr>
        <w:t>DGG</w:t>
      </w:r>
      <w:r w:rsidR="00F90434" w:rsidRPr="00580785">
        <w:rPr>
          <w:iCs/>
          <w:color w:val="000000"/>
        </w:rPr>
        <w:t xml:space="preserve"> с </w:t>
      </w:r>
      <m:oMath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OH</m:t>
        </m:r>
      </m:oMath>
      <w:r w:rsidR="00580785" w:rsidRPr="00580785">
        <w:rPr>
          <w:rFonts w:eastAsia="Calibri"/>
          <w:iCs/>
          <w:lang w:eastAsia="en-US"/>
        </w:rPr>
        <w:t>.</w:t>
      </w:r>
      <w:r w:rsidR="009E209D" w:rsidRPr="00580785">
        <w:rPr>
          <w:iCs/>
          <w:color w:val="000000"/>
        </w:rPr>
        <w:t xml:space="preserve"> </w:t>
      </w:r>
      <w:bookmarkStart w:id="0" w:name="_Hlk186915387"/>
      <w:r w:rsidR="003167D4" w:rsidRPr="003167D4">
        <w:rPr>
          <w:iCs/>
          <w:color w:val="000000"/>
        </w:rPr>
        <w:t xml:space="preserve"> </w:t>
      </w:r>
      <w:r w:rsidR="003167D4">
        <w:rPr>
          <w:iCs/>
          <w:color w:val="000000"/>
        </w:rPr>
        <w:t xml:space="preserve">Методом </w:t>
      </w:r>
      <w:r w:rsidR="003167D4" w:rsidRPr="003167D4">
        <w:rPr>
          <w:iCs/>
          <w:color w:val="000000"/>
        </w:rPr>
        <w:t xml:space="preserve">Джоба установлено </w:t>
      </w:r>
      <w:r w:rsidR="003167D4">
        <w:rPr>
          <w:iCs/>
          <w:color w:val="000000"/>
        </w:rPr>
        <w:t>образование ассоциата со стехиометрией</w:t>
      </w:r>
      <w:r w:rsidR="003167D4" w:rsidRPr="003167D4">
        <w:rPr>
          <w:iCs/>
          <w:color w:val="000000"/>
        </w:rPr>
        <w:t xml:space="preserve"> 1:2</w:t>
      </w:r>
      <w:r w:rsidR="003167D4">
        <w:rPr>
          <w:iCs/>
          <w:color w:val="000000"/>
        </w:rPr>
        <w:t>:</w:t>
      </w:r>
    </w:p>
    <w:p w14:paraId="72F96AFF" w14:textId="1ED22C58" w:rsidR="003167D4" w:rsidRPr="000960A0" w:rsidRDefault="000960A0" w:rsidP="00EB44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right"/>
        <w:rPr>
          <w:iCs/>
          <w:color w:val="000000"/>
        </w:rPr>
      </w:pPr>
      <m:oMath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DGG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 +2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Ar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OH </m:t>
        </m:r>
        <m:r>
          <w:rPr>
            <w:rFonts w:ascii="Cambria Math" w:eastAsia="Calibri" w:hAnsi="Cambria Math"/>
            <w:lang w:eastAsia="en-US"/>
          </w:rPr>
          <m:t>⇄</m:t>
        </m:r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DGG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⋯</m:t>
        </m:r>
        <m:sSub>
          <m:sSubPr>
            <m:ctrlPr>
              <w:rPr>
                <w:rFonts w:ascii="Cambria Math" w:eastAsia="Calibri" w:hAnsi="Cambria Math"/>
                <w:iCs/>
                <w:lang w:val="en-US" w:eastAsia="en-US"/>
              </w:rPr>
            </m:ctrlPr>
          </m:sSubPr>
          <m:e>
            <m:d>
              <m:dPr>
                <m:ctrlPr>
                  <w:rPr>
                    <w:rFonts w:ascii="Cambria Math" w:eastAsia="Calibri" w:hAnsi="Cambria Math"/>
                    <w:iCs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Ar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OH</m:t>
                </m:r>
              </m:e>
            </m:d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>
        <w:rPr>
          <w:iCs/>
          <w:lang w:eastAsia="en-US"/>
        </w:rPr>
        <w:t>.</w:t>
      </w:r>
      <w:r w:rsidR="00EB443D">
        <w:rPr>
          <w:iCs/>
          <w:lang w:eastAsia="en-US"/>
        </w:rPr>
        <w:tab/>
      </w:r>
      <w:r w:rsidR="00EB443D">
        <w:rPr>
          <w:iCs/>
          <w:lang w:eastAsia="en-US"/>
        </w:rPr>
        <w:tab/>
      </w:r>
      <w:r w:rsidR="00EB443D">
        <w:rPr>
          <w:iCs/>
          <w:lang w:eastAsia="en-US"/>
        </w:rPr>
        <w:tab/>
      </w:r>
      <w:r w:rsidR="00EB443D">
        <w:rPr>
          <w:iCs/>
          <w:lang w:eastAsia="en-US"/>
        </w:rPr>
        <w:tab/>
        <w:t>(1)</w:t>
      </w:r>
    </w:p>
    <w:p w14:paraId="71AC0393" w14:textId="21CF5517" w:rsidR="00DB0E37" w:rsidRPr="00580785" w:rsidRDefault="0028645F" w:rsidP="00713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 xml:space="preserve">По уравнению Бенеши-Гильдебранда в оригинальной и модифицированной (уравнение Скотта) формах определены </w:t>
      </w:r>
      <w:r w:rsidR="00AC5414" w:rsidRPr="00580785">
        <w:rPr>
          <w:iCs/>
          <w:color w:val="000000"/>
        </w:rPr>
        <w:t>констант</w:t>
      </w:r>
      <w:r>
        <w:rPr>
          <w:iCs/>
          <w:color w:val="000000"/>
        </w:rPr>
        <w:t>ы</w:t>
      </w:r>
      <w:r w:rsidR="00AC5414" w:rsidRPr="00580785">
        <w:rPr>
          <w:iCs/>
          <w:color w:val="000000"/>
        </w:rPr>
        <w:t xml:space="preserve"> устойчивости</w:t>
      </w:r>
      <w:r>
        <w:rPr>
          <w:iCs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(</m:t>
        </m:r>
        <m:sSub>
          <m:sSubPr>
            <m:ctrlPr>
              <w:rPr>
                <w:rFonts w:ascii="Cambria Math" w:eastAsia="Calibri" w:hAnsi="Cambria Math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vertAlign w:val="subscript"/>
              </w:rPr>
              <m:t>у</m:t>
            </m:r>
            <m:r>
              <w:rPr>
                <w:rFonts w:ascii="Cambria Math" w:eastAsia="Calibri" w:hAnsi="Cambria Math"/>
                <w:vertAlign w:val="subscript"/>
              </w:rPr>
              <m:t>ст.</m:t>
            </m:r>
          </m:sub>
        </m:sSub>
        <m:r>
          <m:rPr>
            <m:sty m:val="p"/>
          </m:rPr>
          <w:rPr>
            <w:rFonts w:ascii="Cambria Math" w:eastAsia="Calibri" w:hAnsi="Cambria Math"/>
          </w:rPr>
          <m:t>)</m:t>
        </m:r>
      </m:oMath>
      <w:r w:rsidR="0085782B">
        <w:rPr>
          <w:iCs/>
        </w:rPr>
        <w:t xml:space="preserve"> комплексов. </w:t>
      </w:r>
      <w:r w:rsidR="000960A0">
        <w:rPr>
          <w:iCs/>
          <w:color w:val="000000"/>
        </w:rPr>
        <w:t xml:space="preserve">Полученные изменения </w:t>
      </w:r>
      <w:r w:rsidR="00040499">
        <w:rPr>
          <w:iCs/>
          <w:color w:val="000000"/>
        </w:rPr>
        <w:t xml:space="preserve">свободных </w:t>
      </w:r>
      <w:r w:rsidR="00AC5414" w:rsidRPr="00580785">
        <w:rPr>
          <w:iCs/>
          <w:color w:val="000000"/>
        </w:rPr>
        <w:t>энерги</w:t>
      </w:r>
      <w:r w:rsidR="000960A0">
        <w:rPr>
          <w:iCs/>
          <w:color w:val="000000"/>
        </w:rPr>
        <w:t>й</w:t>
      </w:r>
      <w:r w:rsidR="00AC5414" w:rsidRPr="00580785">
        <w:rPr>
          <w:iCs/>
          <w:color w:val="000000"/>
        </w:rPr>
        <w:t xml:space="preserve"> Гиббса реакций комплексообразования</w:t>
      </w:r>
      <w:r w:rsidR="003167D4">
        <w:rPr>
          <w:iCs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(</m:t>
        </m:r>
        <m:sSub>
          <m:sSubPr>
            <m:ctrlPr>
              <w:rPr>
                <w:rFonts w:ascii="Cambria Math" w:eastAsia="Calibri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∆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vertAlign w:val="subscript"/>
              </w:rPr>
              <m:t>298</m:t>
            </m:r>
          </m:sub>
        </m:sSub>
        <m:r>
          <m:rPr>
            <m:sty m:val="p"/>
          </m:rPr>
          <w:rPr>
            <w:rFonts w:ascii="Cambria Math" w:eastAsia="Calibri" w:hAnsi="Cambria Math"/>
          </w:rPr>
          <m:t>)</m:t>
        </m:r>
      </m:oMath>
      <w:r w:rsidR="003167D4" w:rsidRPr="00580785">
        <w:rPr>
          <w:iCs/>
          <w:color w:val="000000"/>
        </w:rPr>
        <w:t xml:space="preserve"> </w:t>
      </w:r>
      <w:r w:rsidR="000960A0">
        <w:rPr>
          <w:iCs/>
          <w:color w:val="000000"/>
        </w:rPr>
        <w:t>свидетельствуют о том</w:t>
      </w:r>
      <w:r w:rsidR="00AC5414" w:rsidRPr="00580785">
        <w:rPr>
          <w:iCs/>
          <w:color w:val="000000"/>
        </w:rPr>
        <w:t xml:space="preserve">, что положение равновесия смещено в сторону образования </w:t>
      </w:r>
      <w:r w:rsidR="00F350FD" w:rsidRPr="00580785">
        <w:rPr>
          <w:iCs/>
          <w:color w:val="000000"/>
        </w:rPr>
        <w:t>ассоциата (табл. 1).</w:t>
      </w:r>
      <w:r w:rsidR="00DB0E37" w:rsidRPr="00580785">
        <w:rPr>
          <w:iCs/>
          <w:color w:val="000000"/>
        </w:rPr>
        <w:t xml:space="preserve"> </w:t>
      </w:r>
    </w:p>
    <w:p w14:paraId="6DFF5A1F" w14:textId="75C03F43" w:rsidR="000D0F1B" w:rsidRPr="00DB0E37" w:rsidRDefault="00DB0E37" w:rsidP="00DB0E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vertAlign w:val="superscript"/>
        </w:rPr>
      </w:pPr>
      <w:r w:rsidRPr="00A02B7C">
        <w:rPr>
          <w:color w:val="000000"/>
        </w:rPr>
        <w:t xml:space="preserve">Таблица </w:t>
      </w:r>
      <w:r>
        <w:rPr>
          <w:color w:val="000000"/>
        </w:rPr>
        <w:t xml:space="preserve">1. </w:t>
      </w:r>
      <w:r w:rsidR="00DA675C">
        <w:rPr>
          <w:color w:val="000000"/>
        </w:rPr>
        <w:t>Характеристики реакции комплексообразования (1) и антирадикальн</w:t>
      </w:r>
      <w:r w:rsidR="00040499">
        <w:rPr>
          <w:color w:val="000000"/>
        </w:rPr>
        <w:t>ых</w:t>
      </w:r>
      <w:r w:rsidR="00DA675C">
        <w:rPr>
          <w:color w:val="000000"/>
        </w:rPr>
        <w:t xml:space="preserve"> синергическ</w:t>
      </w:r>
      <w:r w:rsidR="00040499">
        <w:rPr>
          <w:color w:val="000000"/>
        </w:rPr>
        <w:t>их эффектов</w:t>
      </w:r>
      <w:r w:rsidR="00DA675C">
        <w:rPr>
          <w:color w:val="000000"/>
        </w:rPr>
        <w:t xml:space="preserve"> для таннин-фенольных композиций </w:t>
      </w:r>
      <m:oMath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DGG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⋯</m:t>
        </m:r>
        <m:sSub>
          <m:sSubPr>
            <m:ctrlPr>
              <w:rPr>
                <w:rFonts w:ascii="Cambria Math" w:eastAsia="Calibri" w:hAnsi="Cambria Math"/>
                <w:iCs/>
                <w:lang w:val="en-US" w:eastAsia="en-US"/>
              </w:rPr>
            </m:ctrlPr>
          </m:sSubPr>
          <m:e>
            <m:d>
              <m:dPr>
                <m:ctrlPr>
                  <w:rPr>
                    <w:rFonts w:ascii="Cambria Math" w:eastAsia="Calibri" w:hAnsi="Cambria Math"/>
                    <w:iCs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Ar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OH</m:t>
                </m:r>
              </m:e>
            </m:d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</w:p>
    <w:tbl>
      <w:tblPr>
        <w:tblStyle w:val="aa"/>
        <w:tblW w:w="9214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1276"/>
        <w:gridCol w:w="1276"/>
        <w:gridCol w:w="992"/>
      </w:tblGrid>
      <w:tr w:rsidR="00E95B86" w:rsidRPr="007A2D7D" w14:paraId="5769FAB4" w14:textId="57CB96E0" w:rsidTr="00E95B86">
        <w:trPr>
          <w:trHeight w:val="20"/>
          <w:jc w:val="center"/>
        </w:trPr>
        <w:tc>
          <w:tcPr>
            <w:tcW w:w="1843" w:type="dxa"/>
            <w:vMerge w:val="restart"/>
            <w:vAlign w:val="center"/>
            <w:hideMark/>
          </w:tcPr>
          <w:p w14:paraId="54D7E7E1" w14:textId="0DD35BE1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Ar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OH</m:t>
                </m:r>
              </m:oMath>
            </m:oMathPara>
          </w:p>
        </w:tc>
        <w:tc>
          <w:tcPr>
            <w:tcW w:w="2552" w:type="dxa"/>
            <w:gridSpan w:val="2"/>
            <w:vAlign w:val="center"/>
            <w:hideMark/>
          </w:tcPr>
          <w:p w14:paraId="79E78A96" w14:textId="28A10CF9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 </w:t>
            </w:r>
            <w:r w:rsidRPr="00DB0E37">
              <w:rPr>
                <w:color w:val="000000"/>
                <w:sz w:val="22"/>
                <w:szCs w:val="22"/>
              </w:rPr>
              <w:t>Бенеши-Гильдебранда</w:t>
            </w:r>
          </w:p>
        </w:tc>
        <w:tc>
          <w:tcPr>
            <w:tcW w:w="2551" w:type="dxa"/>
            <w:gridSpan w:val="2"/>
            <w:vAlign w:val="center"/>
            <w:hideMark/>
          </w:tcPr>
          <w:p w14:paraId="42BC9341" w14:textId="25FE9F50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DB0E37">
              <w:rPr>
                <w:color w:val="000000"/>
                <w:sz w:val="22"/>
                <w:szCs w:val="22"/>
              </w:rPr>
              <w:t>етод Скотта</w:t>
            </w:r>
          </w:p>
        </w:tc>
        <w:tc>
          <w:tcPr>
            <w:tcW w:w="1276" w:type="dxa"/>
            <w:vMerge w:val="restart"/>
            <w:vAlign w:val="center"/>
          </w:tcPr>
          <w:p w14:paraId="5BBCF4D5" w14:textId="0F15B300" w:rsidR="00E95B86" w:rsidRDefault="00000000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05" w:right="-65"/>
              <w:jc w:val="center"/>
              <w:rPr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  <w:color w:val="0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Cs/>
                              <w:color w:val="00000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∆υ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υ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адд.</m:t>
                              </m:r>
                            </m:sub>
                          </m:sSub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мак.</m:t>
                  </m:r>
                </m:sub>
              </m:sSub>
            </m:oMath>
            <w:r w:rsidR="00E95B86">
              <w:rPr>
                <w:iCs/>
                <w:color w:val="000000"/>
              </w:rPr>
              <w:t>, %</w:t>
            </w:r>
          </w:p>
        </w:tc>
        <w:tc>
          <w:tcPr>
            <w:tcW w:w="992" w:type="dxa"/>
            <w:vMerge w:val="restart"/>
            <w:vAlign w:val="center"/>
          </w:tcPr>
          <w:p w14:paraId="38680084" w14:textId="768FAA85" w:rsidR="00E95B86" w:rsidRDefault="00000000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11" w:right="-109"/>
              <w:jc w:val="center"/>
              <w:rPr>
                <w:iCs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∆</m:t>
                          </m:r>
                          <m:r>
                            <w:rPr>
                              <w:rFonts w:ascii="Cambria Math" w:hAnsi="Cambria Math"/>
                            </w:rPr>
                            <m:t>τ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адд.</m:t>
                              </m:r>
                            </m:sub>
                          </m:sSub>
                        </m:den>
                      </m:f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мак.</m:t>
                  </m:r>
                </m:sub>
              </m:sSub>
            </m:oMath>
            <w:r w:rsidR="00E95B86">
              <w:rPr>
                <w:iCs/>
              </w:rPr>
              <w:t>, %</w:t>
            </w:r>
          </w:p>
        </w:tc>
      </w:tr>
      <w:tr w:rsidR="00E95B86" w:rsidRPr="007A2D7D" w14:paraId="6C2199D9" w14:textId="08E8AC70" w:rsidTr="00E95B86">
        <w:trPr>
          <w:trHeight w:val="20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7C3C048" w14:textId="77777777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4397AE" w14:textId="77777777" w:rsidR="00E95B86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824">
              <w:rPr>
                <w:color w:val="000000"/>
                <w:sz w:val="22"/>
                <w:szCs w:val="22"/>
              </w:rPr>
              <w:t>K</w:t>
            </w:r>
            <w:r w:rsidRPr="00A11824">
              <w:rPr>
                <w:color w:val="000000"/>
                <w:sz w:val="22"/>
                <w:szCs w:val="22"/>
                <w:vertAlign w:val="subscript"/>
              </w:rPr>
              <w:t>уст.</w:t>
            </w:r>
            <w:r w:rsidRPr="00A11824">
              <w:rPr>
                <w:color w:val="000000"/>
                <w:sz w:val="22"/>
                <w:szCs w:val="22"/>
              </w:rPr>
              <w:t>∙10</w:t>
            </w:r>
            <w:r w:rsidRPr="00A11824">
              <w:rPr>
                <w:color w:val="000000"/>
                <w:sz w:val="22"/>
                <w:szCs w:val="22"/>
                <w:vertAlign w:val="superscript"/>
              </w:rPr>
              <w:t>-7</w:t>
            </w:r>
            <w:r w:rsidR="00A11824">
              <w:rPr>
                <w:color w:val="000000"/>
                <w:sz w:val="22"/>
                <w:szCs w:val="22"/>
              </w:rPr>
              <w:t>,</w:t>
            </w:r>
          </w:p>
          <w:p w14:paraId="4BB44B6B" w14:textId="2CFAFA2D" w:rsidR="00A11824" w:rsidRPr="00A11824" w:rsidRDefault="00A11824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моль</w:t>
            </w:r>
            <w:r w:rsidRPr="00A11824">
              <w:rPr>
                <w:color w:val="000000"/>
                <w:sz w:val="22"/>
                <w:szCs w:val="22"/>
                <w:vertAlign w:val="superscript"/>
              </w:rPr>
              <w:t>-2</w:t>
            </w:r>
            <w:r>
              <w:rPr>
                <w:color w:val="000000"/>
                <w:sz w:val="22"/>
                <w:szCs w:val="22"/>
              </w:rPr>
              <w:t>∙л</w:t>
            </w:r>
            <w:r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5EBE29BA" w14:textId="77777777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B0E37">
              <w:rPr>
                <w:color w:val="000000"/>
                <w:sz w:val="22"/>
                <w:szCs w:val="22"/>
              </w:rPr>
              <w:t>∆</w:t>
            </w:r>
            <w:r w:rsidRPr="00DB0E37">
              <w:rPr>
                <w:color w:val="000000"/>
                <w:sz w:val="22"/>
                <w:szCs w:val="22"/>
                <w:vertAlign w:val="subscript"/>
              </w:rPr>
              <w:t>r</w:t>
            </w:r>
            <w:r w:rsidRPr="00DB0E37">
              <w:rPr>
                <w:color w:val="000000"/>
                <w:sz w:val="22"/>
                <w:szCs w:val="22"/>
              </w:rPr>
              <w:t>G</w:t>
            </w:r>
            <w:r w:rsidRPr="00DB0E37">
              <w:rPr>
                <w:color w:val="000000"/>
                <w:sz w:val="22"/>
                <w:szCs w:val="22"/>
                <w:vertAlign w:val="subscript"/>
              </w:rPr>
              <w:t>298</w:t>
            </w:r>
            <w:r w:rsidRPr="00DB0E37">
              <w:rPr>
                <w:color w:val="000000"/>
                <w:sz w:val="22"/>
                <w:szCs w:val="22"/>
              </w:rPr>
              <w:t>, кДж∙моль</w:t>
            </w:r>
            <w:r w:rsidRPr="00DB0E37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F7030B" w14:textId="77777777" w:rsidR="00E95B86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11824">
              <w:rPr>
                <w:color w:val="000000"/>
                <w:sz w:val="22"/>
                <w:szCs w:val="22"/>
              </w:rPr>
              <w:t>K</w:t>
            </w:r>
            <w:r w:rsidRPr="00A11824">
              <w:rPr>
                <w:color w:val="000000"/>
                <w:sz w:val="22"/>
                <w:szCs w:val="22"/>
                <w:vertAlign w:val="subscript"/>
              </w:rPr>
              <w:t>уст</w:t>
            </w:r>
            <w:r w:rsidRPr="00A11824">
              <w:rPr>
                <w:color w:val="000000"/>
                <w:sz w:val="22"/>
                <w:szCs w:val="22"/>
              </w:rPr>
              <w:t>∙10</w:t>
            </w:r>
            <w:r w:rsidRPr="00A11824">
              <w:rPr>
                <w:color w:val="000000"/>
                <w:sz w:val="22"/>
                <w:szCs w:val="22"/>
                <w:vertAlign w:val="superscript"/>
              </w:rPr>
              <w:t>-7</w:t>
            </w:r>
            <w:r w:rsidR="00A11824" w:rsidRPr="00A11824">
              <w:rPr>
                <w:color w:val="000000"/>
                <w:sz w:val="22"/>
                <w:szCs w:val="22"/>
              </w:rPr>
              <w:t>,</w:t>
            </w:r>
          </w:p>
          <w:p w14:paraId="4053A6F4" w14:textId="491366DF" w:rsidR="00A11824" w:rsidRPr="00A11824" w:rsidRDefault="00A11824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моль</w:t>
            </w:r>
            <w:r w:rsidRPr="00A11824">
              <w:rPr>
                <w:color w:val="000000"/>
                <w:sz w:val="22"/>
                <w:szCs w:val="22"/>
                <w:vertAlign w:val="superscript"/>
              </w:rPr>
              <w:t>-2</w:t>
            </w:r>
            <w:r>
              <w:rPr>
                <w:color w:val="000000"/>
                <w:sz w:val="22"/>
                <w:szCs w:val="22"/>
              </w:rPr>
              <w:t>∙л</w:t>
            </w:r>
            <w:r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6438A512" w14:textId="77777777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B0E37">
              <w:rPr>
                <w:color w:val="000000"/>
                <w:sz w:val="22"/>
                <w:szCs w:val="22"/>
              </w:rPr>
              <w:t>∆</w:t>
            </w:r>
            <w:r w:rsidRPr="00DB0E37">
              <w:rPr>
                <w:color w:val="000000"/>
                <w:sz w:val="22"/>
                <w:szCs w:val="22"/>
                <w:vertAlign w:val="subscript"/>
              </w:rPr>
              <w:t>r</w:t>
            </w:r>
            <w:r w:rsidRPr="00DB0E37">
              <w:rPr>
                <w:color w:val="000000"/>
                <w:sz w:val="22"/>
                <w:szCs w:val="22"/>
              </w:rPr>
              <w:t>G</w:t>
            </w:r>
            <w:r w:rsidRPr="00DB0E37">
              <w:rPr>
                <w:color w:val="000000"/>
                <w:sz w:val="22"/>
                <w:szCs w:val="22"/>
                <w:vertAlign w:val="subscript"/>
              </w:rPr>
              <w:t>298</w:t>
            </w:r>
            <w:r w:rsidRPr="00DB0E37">
              <w:rPr>
                <w:color w:val="000000"/>
                <w:sz w:val="22"/>
                <w:szCs w:val="22"/>
              </w:rPr>
              <w:t>, кДж∙моль</w:t>
            </w:r>
            <w:r w:rsidRPr="00DB0E37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50A8484" w14:textId="77777777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12BE80D" w14:textId="77777777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B86" w:rsidRPr="007A2D7D" w14:paraId="206B0027" w14:textId="6C7230BB" w:rsidTr="00E95B86">
        <w:trPr>
          <w:trHeight w:val="20"/>
          <w:jc w:val="center"/>
        </w:trPr>
        <w:tc>
          <w:tcPr>
            <w:tcW w:w="1843" w:type="dxa"/>
            <w:tcBorders>
              <w:bottom w:val="nil"/>
            </w:tcBorders>
            <w:noWrap/>
            <w:vAlign w:val="center"/>
            <w:hideMark/>
          </w:tcPr>
          <w:p w14:paraId="601812C4" w14:textId="509862DF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протокатеховая</w:t>
            </w:r>
          </w:p>
        </w:tc>
        <w:tc>
          <w:tcPr>
            <w:tcW w:w="1276" w:type="dxa"/>
            <w:tcBorders>
              <w:bottom w:val="nil"/>
            </w:tcBorders>
            <w:noWrap/>
            <w:vAlign w:val="center"/>
          </w:tcPr>
          <w:p w14:paraId="1694C9A4" w14:textId="24983719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>9.7±0.</w:t>
            </w:r>
            <w:r w:rsidR="00B55B2B" w:rsidRPr="00B55B2B">
              <w:rPr>
                <w:color w:val="000000"/>
                <w:szCs w:val="28"/>
              </w:rPr>
              <w:t>9</w:t>
            </w:r>
          </w:p>
        </w:tc>
        <w:tc>
          <w:tcPr>
            <w:tcW w:w="1276" w:type="dxa"/>
            <w:tcBorders>
              <w:bottom w:val="nil"/>
            </w:tcBorders>
            <w:noWrap/>
            <w:vAlign w:val="center"/>
          </w:tcPr>
          <w:p w14:paraId="65084349" w14:textId="543768B8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-46</w:t>
            </w:r>
            <w:r w:rsidRPr="006A1A16">
              <w:rPr>
                <w:color w:val="000000"/>
                <w:sz w:val="22"/>
                <w:szCs w:val="22"/>
              </w:rPr>
              <w:t>±</w:t>
            </w:r>
            <w:r w:rsidR="00EF06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bottom w:val="nil"/>
            </w:tcBorders>
            <w:noWrap/>
            <w:vAlign w:val="center"/>
          </w:tcPr>
          <w:p w14:paraId="090A35E5" w14:textId="2DB8DE9B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r w:rsidR="00A41E57">
              <w:rPr>
                <w:color w:val="000000"/>
                <w:sz w:val="22"/>
                <w:szCs w:val="22"/>
              </w:rPr>
              <w:t>7±0.</w:t>
            </w:r>
            <w:r w:rsidR="00B55B2B" w:rsidRPr="00B55B2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nil"/>
            </w:tcBorders>
            <w:noWrap/>
            <w:vAlign w:val="center"/>
          </w:tcPr>
          <w:p w14:paraId="67C234A8" w14:textId="061431CF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</w:t>
            </w:r>
            <w:r w:rsidRPr="006A1A16">
              <w:rPr>
                <w:color w:val="000000"/>
                <w:sz w:val="22"/>
                <w:szCs w:val="22"/>
              </w:rPr>
              <w:t>±</w:t>
            </w:r>
            <w:r w:rsidR="00EF06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E968CFA" w14:textId="5E172C5E" w:rsidR="00E95B86" w:rsidRPr="00DB0E37" w:rsidRDefault="00297197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97197">
              <w:rPr>
                <w:color w:val="000000"/>
                <w:sz w:val="22"/>
                <w:szCs w:val="22"/>
              </w:rPr>
              <w:t>85±3</w:t>
            </w:r>
          </w:p>
        </w:tc>
        <w:tc>
          <w:tcPr>
            <w:tcW w:w="992" w:type="dxa"/>
            <w:tcBorders>
              <w:bottom w:val="nil"/>
            </w:tcBorders>
          </w:tcPr>
          <w:p w14:paraId="73C4795B" w14:textId="397CAE3E" w:rsidR="00E95B86" w:rsidRPr="00DB0E37" w:rsidRDefault="00297197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97197">
              <w:rPr>
                <w:bCs/>
                <w:color w:val="000000"/>
                <w:sz w:val="22"/>
                <w:szCs w:val="22"/>
              </w:rPr>
              <w:t>107±4</w:t>
            </w:r>
          </w:p>
        </w:tc>
      </w:tr>
      <w:tr w:rsidR="00E95B86" w:rsidRPr="007A2D7D" w14:paraId="79F953E3" w14:textId="537088FA" w:rsidTr="00E95B86">
        <w:trPr>
          <w:trHeight w:val="20"/>
          <w:jc w:val="center"/>
        </w:trPr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F199F5" w14:textId="77777777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B0E37">
              <w:rPr>
                <w:color w:val="000000"/>
                <w:sz w:val="22"/>
                <w:szCs w:val="22"/>
              </w:rPr>
              <w:t>галловая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 w14:paraId="26AC11EA" w14:textId="1A4E3570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6.8±0.</w:t>
            </w:r>
            <w:r w:rsidR="00B55B2B" w:rsidRPr="00B55B2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 w14:paraId="3238038B" w14:textId="6CB94145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</w:t>
            </w:r>
            <w:r w:rsidRPr="006A1A16">
              <w:rPr>
                <w:color w:val="000000"/>
                <w:sz w:val="22"/>
                <w:szCs w:val="22"/>
              </w:rPr>
              <w:t>±</w:t>
            </w:r>
            <w:r w:rsidR="00EF06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29ECB48E" w14:textId="336C0894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="00A41E57">
              <w:rPr>
                <w:color w:val="000000"/>
                <w:sz w:val="22"/>
                <w:szCs w:val="22"/>
              </w:rPr>
              <w:t>3±0.</w:t>
            </w:r>
            <w:r w:rsidR="00B55B2B" w:rsidRPr="00B55B2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 w14:paraId="78D762E1" w14:textId="4FC7987B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</w:t>
            </w:r>
            <w:r w:rsidRPr="006A1A16">
              <w:rPr>
                <w:color w:val="000000"/>
                <w:sz w:val="22"/>
                <w:szCs w:val="22"/>
              </w:rPr>
              <w:t>±</w:t>
            </w:r>
            <w:r w:rsidR="00EF06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FEEB750" w14:textId="3808CEB2" w:rsidR="00E95B86" w:rsidRPr="00DB0E37" w:rsidRDefault="009C4A44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C4A44">
              <w:rPr>
                <w:color w:val="000000"/>
                <w:sz w:val="22"/>
                <w:szCs w:val="22"/>
              </w:rPr>
              <w:t>66±3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43AE79" w14:textId="63345B23" w:rsidR="00E95B86" w:rsidRPr="00DB0E37" w:rsidRDefault="00297197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97197">
              <w:rPr>
                <w:bCs/>
                <w:color w:val="000000"/>
                <w:sz w:val="22"/>
                <w:szCs w:val="22"/>
              </w:rPr>
              <w:t>108±4</w:t>
            </w:r>
          </w:p>
        </w:tc>
      </w:tr>
      <w:tr w:rsidR="00E95B86" w:rsidRPr="007A2D7D" w14:paraId="1863C75A" w14:textId="02890EA9" w:rsidTr="00E95B86">
        <w:trPr>
          <w:trHeight w:val="20"/>
          <w:jc w:val="center"/>
        </w:trPr>
        <w:tc>
          <w:tcPr>
            <w:tcW w:w="1843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1418EF" w14:textId="3C266BF5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сиреневая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 w14:paraId="370D7133" w14:textId="1C0B4936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10.2±0.</w:t>
            </w:r>
            <w:r w:rsidR="00B55B2B" w:rsidRPr="00B55B2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 w14:paraId="19BC8C6B" w14:textId="6A2EB601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-46</w:t>
            </w:r>
            <w:r w:rsidRPr="006A1A16">
              <w:rPr>
                <w:color w:val="000000"/>
                <w:sz w:val="22"/>
                <w:szCs w:val="22"/>
              </w:rPr>
              <w:t>±</w:t>
            </w:r>
            <w:r w:rsidR="00EF06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noWrap/>
            <w:vAlign w:val="center"/>
          </w:tcPr>
          <w:p w14:paraId="7163A502" w14:textId="45EBECE5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="00A41E57">
              <w:rPr>
                <w:color w:val="000000"/>
                <w:sz w:val="22"/>
                <w:szCs w:val="22"/>
              </w:rPr>
              <w:t>7±1.</w:t>
            </w:r>
            <w:r w:rsidR="00B55B2B" w:rsidRPr="00B55B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vAlign w:val="center"/>
          </w:tcPr>
          <w:p w14:paraId="16BE2A27" w14:textId="37318F0F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-46</w:t>
            </w:r>
            <w:r w:rsidRPr="006A1A16">
              <w:rPr>
                <w:color w:val="000000"/>
                <w:sz w:val="22"/>
                <w:szCs w:val="22"/>
              </w:rPr>
              <w:t>±</w:t>
            </w:r>
            <w:r w:rsidR="00EF06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86E4006" w14:textId="1029E9FE" w:rsidR="00E95B86" w:rsidRPr="00DB0E37" w:rsidRDefault="009C4A44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C4A44">
              <w:rPr>
                <w:color w:val="000000"/>
                <w:sz w:val="22"/>
                <w:szCs w:val="22"/>
              </w:rPr>
              <w:t>89 ±4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040D6F" w14:textId="4EC6CFAB" w:rsidR="00E95B86" w:rsidRPr="00DB0E37" w:rsidRDefault="009C4A44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C4A44">
              <w:rPr>
                <w:bCs/>
                <w:color w:val="000000"/>
                <w:sz w:val="22"/>
                <w:szCs w:val="22"/>
              </w:rPr>
              <w:t>171±6</w:t>
            </w:r>
          </w:p>
        </w:tc>
      </w:tr>
      <w:tr w:rsidR="00E95B86" w:rsidRPr="007A2D7D" w14:paraId="14950042" w14:textId="39844354" w:rsidTr="00040499">
        <w:trPr>
          <w:trHeight w:val="2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14:paraId="46E38F7A" w14:textId="4FF9ECC3" w:rsidR="00E95B86" w:rsidRPr="00DB0E37" w:rsidRDefault="00E95B8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B0E37">
              <w:rPr>
                <w:color w:val="000000"/>
                <w:sz w:val="22"/>
                <w:szCs w:val="22"/>
              </w:rPr>
              <w:t>3,5-диметокси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B0E37">
              <w:rPr>
                <w:color w:val="000000"/>
                <w:sz w:val="22"/>
                <w:szCs w:val="22"/>
              </w:rPr>
              <w:t>бензойная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304159C" w14:textId="1113D8A3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5.62±0.</w:t>
            </w:r>
            <w:r w:rsidR="00B55B2B" w:rsidRPr="00B55B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EBDD6CA" w14:textId="1D093A74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-44</w:t>
            </w:r>
            <w:r w:rsidRPr="006A1A16">
              <w:rPr>
                <w:color w:val="000000"/>
                <w:sz w:val="22"/>
                <w:szCs w:val="22"/>
              </w:rPr>
              <w:t>±</w:t>
            </w:r>
            <w:r w:rsidR="00EF06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03E5EA6A" w14:textId="24725EC2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A41E57">
              <w:rPr>
                <w:color w:val="000000"/>
                <w:sz w:val="22"/>
                <w:szCs w:val="22"/>
              </w:rPr>
              <w:t>7±0.</w:t>
            </w:r>
            <w:r w:rsidR="00B55B2B" w:rsidRPr="00B55B2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265E8EB2" w14:textId="034A0D44" w:rsidR="00E95B86" w:rsidRPr="00DB0E37" w:rsidRDefault="006A1A16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-44</w:t>
            </w:r>
            <w:r w:rsidRPr="006A1A16">
              <w:rPr>
                <w:color w:val="000000"/>
                <w:sz w:val="22"/>
                <w:szCs w:val="22"/>
              </w:rPr>
              <w:t>±</w:t>
            </w:r>
            <w:r w:rsidR="00EF06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14:paraId="2FC975A1" w14:textId="201D7536" w:rsidR="00E95B86" w:rsidRPr="00DB0E37" w:rsidRDefault="009C4A44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F68DE">
              <w:t>121±4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14:paraId="2217BC7E" w14:textId="4DC2E25E" w:rsidR="00E95B86" w:rsidRPr="00DB0E37" w:rsidRDefault="009C4A44" w:rsidP="00E95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9C4A44">
              <w:rPr>
                <w:bCs/>
                <w:color w:val="000000"/>
              </w:rPr>
              <w:t>175±6</w:t>
            </w:r>
          </w:p>
        </w:tc>
      </w:tr>
    </w:tbl>
    <w:bookmarkEnd w:id="0"/>
    <w:p w14:paraId="43026828" w14:textId="192663A1" w:rsidR="00B21C61" w:rsidRPr="00410AEB" w:rsidRDefault="000960A0" w:rsidP="001474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Методом фотоколориметрии по начальным скоростям реакций </w:t>
      </w:r>
      <w:r w:rsidR="001017A6">
        <w:rPr>
          <w:color w:val="000000"/>
        </w:rPr>
        <w:t>(</w:t>
      </w:r>
      <m:oMath>
        <m:r>
          <m:rPr>
            <m:sty m:val="p"/>
          </m:rPr>
          <w:rPr>
            <w:rFonts w:ascii="Cambria Math" w:hAnsi="Cambria Math"/>
            <w:color w:val="000000"/>
          </w:rPr>
          <m:t>υ</m:t>
        </m:r>
      </m:oMath>
      <w:r w:rsidR="001017A6">
        <w:rPr>
          <w:color w:val="000000"/>
        </w:rPr>
        <w:t>) таннин-фенольных композиций</w:t>
      </w:r>
      <w:r>
        <w:rPr>
          <w:color w:val="000000"/>
        </w:rPr>
        <w:t xml:space="preserve"> с</w:t>
      </w:r>
      <w:r w:rsidRPr="00AE33D7">
        <w:rPr>
          <w:b/>
          <w:i/>
          <w:color w:val="000000"/>
        </w:rPr>
        <w:t xml:space="preserve"> </w:t>
      </w:r>
      <w:r w:rsidRPr="00AE33D7">
        <w:rPr>
          <w:color w:val="000000"/>
        </w:rPr>
        <w:t>радикалом 2,2ʹ-дифенил-1-пикрилгидразилом</w:t>
      </w:r>
      <w:r>
        <w:rPr>
          <w:color w:val="000000"/>
        </w:rPr>
        <w:t xml:space="preserve"> (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DPPH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•</m:t>
            </m:r>
          </m:sup>
        </m:sSup>
        <m:r>
          <w:rPr>
            <w:rFonts w:ascii="Cambria Math" w:hAnsi="Cambria Math"/>
            <w:color w:val="000000"/>
          </w:rPr>
          <m:t>)</m:t>
        </m:r>
      </m:oMath>
      <w:r>
        <w:rPr>
          <w:color w:val="000000"/>
        </w:rPr>
        <w:t xml:space="preserve"> у</w:t>
      </w:r>
      <w:r w:rsidR="007570FD">
        <w:rPr>
          <w:color w:val="000000"/>
        </w:rPr>
        <w:t>становлено, что</w:t>
      </w:r>
      <w:r w:rsidR="00AE33D7">
        <w:rPr>
          <w:color w:val="000000"/>
        </w:rPr>
        <w:t xml:space="preserve"> образование </w:t>
      </w:r>
      <m:oMath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DGG</m:t>
        </m:r>
        <m:r>
          <m:rPr>
            <m:sty m:val="p"/>
          </m:rPr>
          <w:rPr>
            <w:rFonts w:ascii="Cambria Math" w:eastAsia="Calibri" w:hAnsi="Cambria Math"/>
            <w:lang w:eastAsia="en-US"/>
          </w:rPr>
          <m:t>⋯</m:t>
        </m:r>
        <m:sSub>
          <m:sSubPr>
            <m:ctrlPr>
              <w:rPr>
                <w:rFonts w:ascii="Cambria Math" w:eastAsia="Calibri" w:hAnsi="Cambria Math"/>
                <w:iCs/>
                <w:lang w:val="en-US" w:eastAsia="en-US"/>
              </w:rPr>
            </m:ctrlPr>
          </m:sSubPr>
          <m:e>
            <m:d>
              <m:dPr>
                <m:ctrlPr>
                  <w:rPr>
                    <w:rFonts w:ascii="Cambria Math" w:eastAsia="Calibri" w:hAnsi="Cambria Math"/>
                    <w:iCs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 w:eastAsia="en-US"/>
                  </w:rPr>
                  <m:t>Ar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OH</m:t>
                </m:r>
              </m:e>
            </m:d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AE33D7">
        <w:rPr>
          <w:color w:val="000000"/>
        </w:rPr>
        <w:t xml:space="preserve"> является причиной проявления </w:t>
      </w:r>
      <w:r>
        <w:rPr>
          <w:color w:val="000000"/>
        </w:rPr>
        <w:t xml:space="preserve">антирадикальных </w:t>
      </w:r>
      <w:r w:rsidR="00AE33D7">
        <w:rPr>
          <w:color w:val="000000"/>
        </w:rPr>
        <w:t xml:space="preserve">эффектов </w:t>
      </w:r>
      <w:r>
        <w:rPr>
          <w:color w:val="000000"/>
        </w:rPr>
        <w:t>синергизма.</w:t>
      </w:r>
      <w:r w:rsidR="001017A6" w:rsidRPr="001017A6">
        <w:rPr>
          <w:color w:val="000000"/>
        </w:rPr>
        <w:t xml:space="preserve"> </w:t>
      </w:r>
      <w:r w:rsidR="001017A6">
        <w:rPr>
          <w:color w:val="000000"/>
        </w:rPr>
        <w:t xml:space="preserve">Синергический эффект определяли </w:t>
      </w:r>
      <w:r w:rsidR="001017A6" w:rsidRPr="001017A6">
        <w:rPr>
          <w:color w:val="000000"/>
        </w:rPr>
        <w:t>по усилению антирадикального действия смеси по сравнению с аддитивным действием фенолов</w:t>
      </w:r>
      <w:r w:rsidR="001017A6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∆υ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адд.</m:t>
                        </m:r>
                      </m:sub>
                    </m:sSub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мак.</m:t>
            </m:r>
          </m:sub>
        </m:sSub>
      </m:oMath>
      <w:r w:rsidR="00DA675C">
        <w:rPr>
          <w:color w:val="000000"/>
        </w:rPr>
        <w:t>(табл. 1)</w:t>
      </w:r>
      <w:r w:rsidR="001017A6">
        <w:rPr>
          <w:color w:val="000000"/>
        </w:rPr>
        <w:t xml:space="preserve">. </w:t>
      </w:r>
      <w:r w:rsidR="00AE33D7">
        <w:rPr>
          <w:color w:val="000000"/>
        </w:rPr>
        <w:t xml:space="preserve"> </w:t>
      </w:r>
      <w:r w:rsidR="001017A6">
        <w:rPr>
          <w:color w:val="000000"/>
        </w:rPr>
        <w:t xml:space="preserve">Наибольшие эффекты сверхаддитивности проявили композиции </w:t>
      </w:r>
      <m:oMath>
        <m:r>
          <m:rPr>
            <m:sty m:val="p"/>
          </m:rPr>
          <w:rPr>
            <w:rFonts w:ascii="Cambria Math" w:eastAsia="Calibri" w:hAnsi="Cambria Math"/>
            <w:lang w:val="en-US" w:eastAsia="en-US"/>
          </w:rPr>
          <m:t>DGG</m:t>
        </m:r>
      </m:oMath>
      <w:r w:rsidR="001017A6" w:rsidRPr="007570FD">
        <w:rPr>
          <w:color w:val="000000"/>
        </w:rPr>
        <w:t xml:space="preserve"> </w:t>
      </w:r>
      <w:r w:rsidR="00DA675C">
        <w:rPr>
          <w:color w:val="000000"/>
        </w:rPr>
        <w:t xml:space="preserve">с метоксилированными фенолкарбоновыми кислотами – о-анисовой, 3,5-диметоксибензойной и вератровой кислотами. </w:t>
      </w:r>
      <w:r w:rsidR="007570FD" w:rsidRPr="007570FD">
        <w:rPr>
          <w:color w:val="000000"/>
        </w:rPr>
        <w:t xml:space="preserve">Между </w:t>
      </w:r>
      <w:r w:rsidR="007B1703">
        <w:rPr>
          <w:color w:val="000000"/>
        </w:rPr>
        <w:t xml:space="preserve">экспериментальными величинами </w:t>
      </w:r>
      <w:r w:rsidR="007570FD" w:rsidRPr="007570FD">
        <w:rPr>
          <w:color w:val="000000"/>
        </w:rPr>
        <w:t>констант устойчивости комплекс</w:t>
      </w:r>
      <w:r w:rsidR="007B1703">
        <w:rPr>
          <w:color w:val="000000"/>
        </w:rPr>
        <w:t xml:space="preserve">ов </w:t>
      </w:r>
      <w:r w:rsidR="007570FD" w:rsidRPr="007570FD">
        <w:rPr>
          <w:color w:val="000000"/>
        </w:rPr>
        <w:t>и эффектом синергизма</w:t>
      </w:r>
      <w:r w:rsidR="007B1703">
        <w:rPr>
          <w:color w:val="000000"/>
        </w:rPr>
        <w:t xml:space="preserve"> таннин-фенольных смесей</w:t>
      </w:r>
      <w:r w:rsidR="007570FD" w:rsidRPr="007570FD">
        <w:rPr>
          <w:color w:val="000000"/>
        </w:rPr>
        <w:t xml:space="preserve"> установлена линейная </w:t>
      </w:r>
      <w:r w:rsidR="007B1703">
        <w:rPr>
          <w:color w:val="000000"/>
        </w:rPr>
        <w:t xml:space="preserve">корреляционная </w:t>
      </w:r>
      <w:r w:rsidR="007570FD" w:rsidRPr="007570FD">
        <w:rPr>
          <w:color w:val="000000"/>
        </w:rPr>
        <w:t>зависимость</w:t>
      </w:r>
      <w:r w:rsidR="007B1703">
        <w:rPr>
          <w:color w:val="000000"/>
        </w:rPr>
        <w:t xml:space="preserve"> (2)</w:t>
      </w:r>
      <w:r w:rsidR="00EB443D">
        <w:rPr>
          <w:color w:val="000000"/>
        </w:rPr>
        <w:t xml:space="preserve"> с коэффициентом</w:t>
      </w:r>
      <w:r w:rsidR="00040499">
        <w:rPr>
          <w:color w:val="000000"/>
        </w:rPr>
        <w:t xml:space="preserve"> корреляции</w:t>
      </w:r>
      <w:r w:rsidR="00EB443D">
        <w:rPr>
          <w:color w:val="000000"/>
        </w:rPr>
        <w:t xml:space="preserve"> порядка</w:t>
      </w:r>
      <w:r w:rsidR="00734247">
        <w:rPr>
          <w:color w:val="000000"/>
        </w:rPr>
        <w:t xml:space="preserve"> 0.</w:t>
      </w:r>
      <w:r w:rsidR="007B1703">
        <w:rPr>
          <w:color w:val="000000"/>
        </w:rPr>
        <w:t>900</w:t>
      </w:r>
      <w:r w:rsidR="00EF0185">
        <w:rPr>
          <w:color w:val="000000"/>
        </w:rPr>
        <w:t>:</w:t>
      </w:r>
    </w:p>
    <w:p w14:paraId="084D9610" w14:textId="74A6AB5B" w:rsidR="00946915" w:rsidRPr="00040499" w:rsidRDefault="00000000" w:rsidP="00EB44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right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∆υ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адд.</m:t>
                        </m:r>
                      </m:sub>
                    </m:sSub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мак.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21.0±3.7</m:t>
            </m:r>
          </m:e>
        </m:d>
        <m:r>
          <m:rPr>
            <m:sty m:val="p"/>
          </m:rPr>
          <w:rPr>
            <w:rFonts w:ascii="Cambria Math" w:hAnsi="Cambria Math"/>
            <w:color w:val="000000"/>
          </w:rPr>
          <m:t>∙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ln</m:t>
        </m:r>
        <m:sSub>
          <m:sSubPr>
            <m:ctrlPr>
              <w:rPr>
                <w:rFonts w:ascii="Cambria Math" w:eastAsia="Calibri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vertAlign w:val="subscript"/>
              </w:rPr>
              <m:t>уст.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308±65</m:t>
            </m:r>
          </m:e>
        </m:d>
        <m:r>
          <m:rPr>
            <m:sty m:val="p"/>
          </m:rPr>
          <w:rPr>
            <w:rFonts w:ascii="Cambria Math" w:hAnsi="Cambria Math"/>
            <w:color w:val="000000"/>
          </w:rPr>
          <m:t>.</m:t>
        </m:r>
      </m:oMath>
      <w:r w:rsidR="00E5729C" w:rsidRPr="00040499">
        <w:rPr>
          <w:color w:val="000000"/>
        </w:rPr>
        <w:tab/>
      </w:r>
      <w:r w:rsidR="00054D16" w:rsidRPr="00040499">
        <w:rPr>
          <w:color w:val="000000"/>
        </w:rPr>
        <w:tab/>
      </w:r>
      <w:r w:rsidR="00EB443D" w:rsidRPr="00040499">
        <w:rPr>
          <w:color w:val="000000"/>
        </w:rPr>
        <w:tab/>
        <w:t>(2)</w:t>
      </w:r>
    </w:p>
    <w:p w14:paraId="115F0997" w14:textId="144CC6C9" w:rsidR="007570FD" w:rsidRDefault="007570FD" w:rsidP="001474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0499">
        <w:rPr>
          <w:color w:val="000000"/>
        </w:rPr>
        <w:t>Эффект</w:t>
      </w:r>
      <w:r w:rsidR="00DA675C" w:rsidRPr="00040499">
        <w:rPr>
          <w:color w:val="000000"/>
        </w:rPr>
        <w:t>ы</w:t>
      </w:r>
      <w:r w:rsidRPr="00040499">
        <w:rPr>
          <w:color w:val="000000"/>
        </w:rPr>
        <w:t xml:space="preserve"> сверхаддитивности композиций</w:t>
      </w:r>
      <w:r w:rsidR="00EF0185" w:rsidRPr="00040499">
        <w:rPr>
          <w:color w:val="000000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∆τ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адд.</m:t>
                    </m:r>
                  </m:sub>
                </m:sSub>
              </m:den>
            </m:f>
          </m:e>
        </m:d>
      </m:oMath>
      <w:r w:rsidRPr="00040499">
        <w:rPr>
          <w:color w:val="000000"/>
        </w:rPr>
        <w:t xml:space="preserve"> подтвержда</w:t>
      </w:r>
      <w:r w:rsidR="00DA675C" w:rsidRPr="00040499">
        <w:rPr>
          <w:color w:val="000000"/>
        </w:rPr>
        <w:t>ю</w:t>
      </w:r>
      <w:r w:rsidRPr="00040499">
        <w:rPr>
          <w:color w:val="000000"/>
        </w:rPr>
        <w:t>тся и станов</w:t>
      </w:r>
      <w:r w:rsidR="00040499">
        <w:rPr>
          <w:color w:val="000000"/>
        </w:rPr>
        <w:t>я</w:t>
      </w:r>
      <w:r w:rsidRPr="00040499">
        <w:rPr>
          <w:color w:val="000000"/>
        </w:rPr>
        <w:t>тся более</w:t>
      </w:r>
      <w:r w:rsidRPr="007570FD">
        <w:rPr>
          <w:color w:val="000000"/>
        </w:rPr>
        <w:t xml:space="preserve"> выраженным</w:t>
      </w:r>
      <w:r w:rsidR="00DA675C">
        <w:rPr>
          <w:color w:val="000000"/>
        </w:rPr>
        <w:t>и</w:t>
      </w:r>
      <w:r w:rsidRPr="007570FD">
        <w:rPr>
          <w:color w:val="000000"/>
        </w:rPr>
        <w:t xml:space="preserve"> </w:t>
      </w:r>
      <w:r w:rsidR="00DA675C">
        <w:rPr>
          <w:color w:val="000000"/>
        </w:rPr>
        <w:t xml:space="preserve">в реакции с </w:t>
      </w:r>
      <w:r w:rsidR="007B1703">
        <w:rPr>
          <w:color w:val="000000"/>
        </w:rPr>
        <w:t xml:space="preserve">природными </w:t>
      </w:r>
      <w:r w:rsidR="00DA675C">
        <w:rPr>
          <w:color w:val="000000"/>
        </w:rPr>
        <w:t>пероксирадикалами, генерированными в процессе высокотемпературного автоокисления подсолнечного масла.</w:t>
      </w:r>
      <w:r w:rsidR="00E95B86">
        <w:rPr>
          <w:color w:val="000000"/>
        </w:rPr>
        <w:t xml:space="preserve"> Исследование параметров синергизма</w:t>
      </w:r>
      <w:r w:rsidR="00EF0185">
        <w:rPr>
          <w:iCs/>
        </w:rPr>
        <w:t xml:space="preserve"> </w:t>
      </w:r>
      <w:r w:rsidR="00E95B86">
        <w:rPr>
          <w:color w:val="000000"/>
        </w:rPr>
        <w:t>в органическом субстрате</w:t>
      </w:r>
      <w:r w:rsidR="00EF0185">
        <w:rPr>
          <w:color w:val="000000"/>
        </w:rPr>
        <w:t xml:space="preserve"> </w:t>
      </w:r>
      <w:r w:rsidR="00E95B86">
        <w:rPr>
          <w:color w:val="000000"/>
        </w:rPr>
        <w:t xml:space="preserve">проводили методом иодометрического титрования по величине </w:t>
      </w:r>
      <w:r w:rsidR="00EF0185">
        <w:rPr>
          <w:color w:val="000000"/>
        </w:rPr>
        <w:t>периода</w:t>
      </w:r>
      <w:r w:rsidR="00E95B86">
        <w:rPr>
          <w:color w:val="000000"/>
        </w:rPr>
        <w:t xml:space="preserve"> </w:t>
      </w:r>
      <w:r w:rsidR="00EF0185">
        <w:rPr>
          <w:color w:val="000000"/>
        </w:rPr>
        <w:t>индукции</w:t>
      </w:r>
      <w:r w:rsidR="00E95B86">
        <w:rPr>
          <w:color w:val="000000"/>
        </w:rPr>
        <w:t xml:space="preserve"> </w:t>
      </w:r>
      <w:r w:rsidR="00EF0185">
        <w:rPr>
          <w:color w:val="000000"/>
        </w:rPr>
        <w:t xml:space="preserve">окисления </w:t>
      </w:r>
      <w:r w:rsidR="00E95B86">
        <w:rPr>
          <w:color w:val="000000"/>
        </w:rPr>
        <w:t>масла</w:t>
      </w:r>
      <w:r w:rsidR="0085782B">
        <w:rPr>
          <w:color w:val="000000"/>
        </w:rPr>
        <w:t xml:space="preserve"> (</w:t>
      </w:r>
      <m:oMath>
        <m:r>
          <w:rPr>
            <w:rFonts w:ascii="Cambria Math" w:hAnsi="Cambria Math"/>
          </w:rPr>
          <m:t>τ</m:t>
        </m:r>
      </m:oMath>
      <w:r w:rsidR="0085782B">
        <w:rPr>
          <w:color w:val="000000"/>
        </w:rPr>
        <w:t>)</w:t>
      </w:r>
      <w:r w:rsidR="00E95B86">
        <w:rPr>
          <w:color w:val="000000"/>
        </w:rPr>
        <w:t xml:space="preserve">. </w:t>
      </w:r>
      <w:r w:rsidR="00DA675C">
        <w:rPr>
          <w:color w:val="000000"/>
        </w:rPr>
        <w:t xml:space="preserve"> </w:t>
      </w:r>
      <w:r w:rsidRPr="007570FD">
        <w:rPr>
          <w:color w:val="000000"/>
        </w:rPr>
        <w:t xml:space="preserve">Наибольший синергический эффект, равный 175%, наблюдается для композиции </w:t>
      </w:r>
      <w:r w:rsidR="009D20CE">
        <w:rPr>
          <w:color w:val="000000"/>
        </w:rPr>
        <w:t>дека</w:t>
      </w:r>
      <w:r w:rsidRPr="007570FD">
        <w:rPr>
          <w:color w:val="000000"/>
        </w:rPr>
        <w:t>галлоилглюкозы с 3,5-диметоксибензойной кислотой.</w:t>
      </w:r>
    </w:p>
    <w:p w14:paraId="689B825C" w14:textId="51CC44CB" w:rsidR="00D23787" w:rsidRPr="00247C7F" w:rsidRDefault="001474AD" w:rsidP="00247C7F">
      <w:pPr>
        <w:pStyle w:val="BodyL"/>
        <w:spacing w:line="240" w:lineRule="auto"/>
        <w:rPr>
          <w:rFonts w:eastAsia="Calibri"/>
          <w:i/>
          <w:iCs/>
          <w:szCs w:val="24"/>
        </w:rPr>
      </w:pPr>
      <w:r w:rsidRPr="001474AD">
        <w:rPr>
          <w:rFonts w:eastAsia="Calibri"/>
          <w:i/>
          <w:iCs/>
          <w:szCs w:val="24"/>
        </w:rPr>
        <w:t>Работа выполнена в рамках государственного задания Министерства науки и высшего образования Российской Федерации (тем</w:t>
      </w:r>
      <w:r w:rsidR="00E524B4">
        <w:rPr>
          <w:rFonts w:eastAsia="Calibri"/>
          <w:i/>
          <w:iCs/>
          <w:szCs w:val="24"/>
        </w:rPr>
        <w:t xml:space="preserve">а </w:t>
      </w:r>
      <w:r w:rsidRPr="001474AD">
        <w:rPr>
          <w:rFonts w:eastAsia="Calibri"/>
          <w:i/>
          <w:iCs/>
          <w:szCs w:val="24"/>
        </w:rPr>
        <w:t>№ 124051400022-7).</w:t>
      </w:r>
    </w:p>
    <w:sectPr w:rsidR="00D23787" w:rsidRPr="00247C7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A746D"/>
    <w:multiLevelType w:val="hybridMultilevel"/>
    <w:tmpl w:val="DFC88EF2"/>
    <w:lvl w:ilvl="0" w:tplc="C0088D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FB2CA7"/>
    <w:multiLevelType w:val="hybridMultilevel"/>
    <w:tmpl w:val="E72C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76162">
    <w:abstractNumId w:val="2"/>
  </w:num>
  <w:num w:numId="2" w16cid:durableId="176118628">
    <w:abstractNumId w:val="3"/>
  </w:num>
  <w:num w:numId="3" w16cid:durableId="1434668984">
    <w:abstractNumId w:val="0"/>
  </w:num>
  <w:num w:numId="4" w16cid:durableId="70621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499"/>
    <w:rsid w:val="000521C2"/>
    <w:rsid w:val="00054D16"/>
    <w:rsid w:val="00063966"/>
    <w:rsid w:val="00073AE6"/>
    <w:rsid w:val="00074AF2"/>
    <w:rsid w:val="00086081"/>
    <w:rsid w:val="000960A0"/>
    <w:rsid w:val="000B1899"/>
    <w:rsid w:val="000D0F1B"/>
    <w:rsid w:val="000E663C"/>
    <w:rsid w:val="000E72BA"/>
    <w:rsid w:val="001017A6"/>
    <w:rsid w:val="00101A1C"/>
    <w:rsid w:val="00103657"/>
    <w:rsid w:val="00106375"/>
    <w:rsid w:val="00116478"/>
    <w:rsid w:val="00130241"/>
    <w:rsid w:val="001474AD"/>
    <w:rsid w:val="00171297"/>
    <w:rsid w:val="001950BC"/>
    <w:rsid w:val="001A42E6"/>
    <w:rsid w:val="001B04E0"/>
    <w:rsid w:val="001E61C2"/>
    <w:rsid w:val="001F0493"/>
    <w:rsid w:val="00221BD4"/>
    <w:rsid w:val="002264EE"/>
    <w:rsid w:val="0023307C"/>
    <w:rsid w:val="00236E69"/>
    <w:rsid w:val="00247C7F"/>
    <w:rsid w:val="0028645F"/>
    <w:rsid w:val="00297197"/>
    <w:rsid w:val="002C061A"/>
    <w:rsid w:val="002D0823"/>
    <w:rsid w:val="00310DC7"/>
    <w:rsid w:val="0031361E"/>
    <w:rsid w:val="003167D4"/>
    <w:rsid w:val="00322E04"/>
    <w:rsid w:val="00335E6A"/>
    <w:rsid w:val="0035566A"/>
    <w:rsid w:val="00366DB7"/>
    <w:rsid w:val="00375576"/>
    <w:rsid w:val="00384679"/>
    <w:rsid w:val="00391C38"/>
    <w:rsid w:val="003B1BDF"/>
    <w:rsid w:val="003B48D6"/>
    <w:rsid w:val="003B76D6"/>
    <w:rsid w:val="003C3AD8"/>
    <w:rsid w:val="00406F40"/>
    <w:rsid w:val="00410AEB"/>
    <w:rsid w:val="00412D60"/>
    <w:rsid w:val="0046468D"/>
    <w:rsid w:val="00470077"/>
    <w:rsid w:val="004A26A3"/>
    <w:rsid w:val="004F0EDF"/>
    <w:rsid w:val="004F3472"/>
    <w:rsid w:val="00506C62"/>
    <w:rsid w:val="00522BF1"/>
    <w:rsid w:val="00546F3F"/>
    <w:rsid w:val="00580785"/>
    <w:rsid w:val="00590166"/>
    <w:rsid w:val="005D022B"/>
    <w:rsid w:val="005E0174"/>
    <w:rsid w:val="005E5BE9"/>
    <w:rsid w:val="0065794A"/>
    <w:rsid w:val="00666516"/>
    <w:rsid w:val="0069427D"/>
    <w:rsid w:val="006A1A16"/>
    <w:rsid w:val="006A77B4"/>
    <w:rsid w:val="006C2929"/>
    <w:rsid w:val="006F7A19"/>
    <w:rsid w:val="0070399B"/>
    <w:rsid w:val="00705E48"/>
    <w:rsid w:val="00707DCE"/>
    <w:rsid w:val="007135F0"/>
    <w:rsid w:val="007213E1"/>
    <w:rsid w:val="00727EFE"/>
    <w:rsid w:val="00727F21"/>
    <w:rsid w:val="00734247"/>
    <w:rsid w:val="00744082"/>
    <w:rsid w:val="007570FD"/>
    <w:rsid w:val="0077125D"/>
    <w:rsid w:val="00775389"/>
    <w:rsid w:val="00793627"/>
    <w:rsid w:val="00797838"/>
    <w:rsid w:val="007A2D7D"/>
    <w:rsid w:val="007B1703"/>
    <w:rsid w:val="007C36D8"/>
    <w:rsid w:val="007D558C"/>
    <w:rsid w:val="007E7EB7"/>
    <w:rsid w:val="007F2744"/>
    <w:rsid w:val="0085782B"/>
    <w:rsid w:val="00866118"/>
    <w:rsid w:val="008931BE"/>
    <w:rsid w:val="00896AEC"/>
    <w:rsid w:val="008C1974"/>
    <w:rsid w:val="008C67E3"/>
    <w:rsid w:val="008E7235"/>
    <w:rsid w:val="00903432"/>
    <w:rsid w:val="00904C46"/>
    <w:rsid w:val="00921D45"/>
    <w:rsid w:val="00946915"/>
    <w:rsid w:val="00947B3B"/>
    <w:rsid w:val="00962AF5"/>
    <w:rsid w:val="009A2334"/>
    <w:rsid w:val="009A66DB"/>
    <w:rsid w:val="009B2F80"/>
    <w:rsid w:val="009B3300"/>
    <w:rsid w:val="009C4A44"/>
    <w:rsid w:val="009D20CE"/>
    <w:rsid w:val="009E0242"/>
    <w:rsid w:val="009E209D"/>
    <w:rsid w:val="009F3380"/>
    <w:rsid w:val="009F36EE"/>
    <w:rsid w:val="00A02163"/>
    <w:rsid w:val="00A02B7C"/>
    <w:rsid w:val="00A10CB1"/>
    <w:rsid w:val="00A11824"/>
    <w:rsid w:val="00A314FE"/>
    <w:rsid w:val="00A41E57"/>
    <w:rsid w:val="00A44766"/>
    <w:rsid w:val="00A63F46"/>
    <w:rsid w:val="00AC5414"/>
    <w:rsid w:val="00AE33D7"/>
    <w:rsid w:val="00B21C61"/>
    <w:rsid w:val="00B27171"/>
    <w:rsid w:val="00B55B2B"/>
    <w:rsid w:val="00B64B07"/>
    <w:rsid w:val="00BF36F8"/>
    <w:rsid w:val="00BF4622"/>
    <w:rsid w:val="00C24929"/>
    <w:rsid w:val="00C4214B"/>
    <w:rsid w:val="00C65F50"/>
    <w:rsid w:val="00C900A0"/>
    <w:rsid w:val="00CA114C"/>
    <w:rsid w:val="00CA230E"/>
    <w:rsid w:val="00CA6110"/>
    <w:rsid w:val="00CD00B1"/>
    <w:rsid w:val="00CD1238"/>
    <w:rsid w:val="00CE7D3B"/>
    <w:rsid w:val="00D22306"/>
    <w:rsid w:val="00D23787"/>
    <w:rsid w:val="00D42542"/>
    <w:rsid w:val="00D8121C"/>
    <w:rsid w:val="00DA0E76"/>
    <w:rsid w:val="00DA675C"/>
    <w:rsid w:val="00DB0E37"/>
    <w:rsid w:val="00DF157D"/>
    <w:rsid w:val="00E05B35"/>
    <w:rsid w:val="00E16C81"/>
    <w:rsid w:val="00E22189"/>
    <w:rsid w:val="00E524B4"/>
    <w:rsid w:val="00E5729C"/>
    <w:rsid w:val="00E74069"/>
    <w:rsid w:val="00E82927"/>
    <w:rsid w:val="00E94A6F"/>
    <w:rsid w:val="00E95B86"/>
    <w:rsid w:val="00EA5396"/>
    <w:rsid w:val="00EB1F49"/>
    <w:rsid w:val="00EB443D"/>
    <w:rsid w:val="00EF0185"/>
    <w:rsid w:val="00EF0635"/>
    <w:rsid w:val="00F22108"/>
    <w:rsid w:val="00F350FD"/>
    <w:rsid w:val="00F865B3"/>
    <w:rsid w:val="00F90434"/>
    <w:rsid w:val="00FB1509"/>
    <w:rsid w:val="00FB6F8B"/>
    <w:rsid w:val="00FC65FC"/>
    <w:rsid w:val="00FF189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A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L">
    <w:name w:val="BodyL."/>
    <w:basedOn w:val="a"/>
    <w:rsid w:val="001474AD"/>
    <w:pPr>
      <w:spacing w:line="360" w:lineRule="auto"/>
      <w:ind w:firstLine="567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CF3F69-E33C-4F2F-AD3D-259AEB0A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mikhail_belyi@dnevnik.ru</cp:lastModifiedBy>
  <cp:revision>67</cp:revision>
  <dcterms:created xsi:type="dcterms:W3CDTF">2024-01-11T17:48:00Z</dcterms:created>
  <dcterms:modified xsi:type="dcterms:W3CDTF">2025-02-12T18:11:00Z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