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Физико-химические свойства отходов переработки природных галогенидов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Панаева А.О.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rtl w:val="0"/>
        </w:rPr>
        <w:t xml:space="preserve">,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Шакиров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Т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rtl w:val="0"/>
        </w:rPr>
        <w:t xml:space="preserve">Р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</w:rPr>
      </w:pPr>
      <w:r w:rsidDel="00000000" w:rsidR="00000000" w:rsidRPr="00000000">
        <w:rPr>
          <w:i w:val="1"/>
          <w:rtl w:val="0"/>
        </w:rPr>
        <w:t xml:space="preserve">Студент, 1 курс 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highlight w:val="yellow"/>
        </w:rPr>
      </w:pPr>
      <w:r w:rsidDel="00000000" w:rsidR="00000000" w:rsidRPr="00000000">
        <w:rPr>
          <w:i w:val="1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Федеральное государственное бюджетное общеобразовательное учереждение высшего образования Казанский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национальный исследовательский технологический</w:t>
      </w:r>
      <w:r w:rsidDel="00000000" w:rsidR="00000000" w:rsidRPr="00000000">
        <w:rPr>
          <w:i w:val="1"/>
          <w:color w:val="000000"/>
          <w:rtl w:val="0"/>
        </w:rPr>
        <w:t xml:space="preserve"> университет</w:t>
      </w:r>
      <w:r w:rsidDel="00000000" w:rsidR="00000000" w:rsidRPr="00000000">
        <w:rPr>
          <w:i w:val="1"/>
          <w:rtl w:val="0"/>
        </w:rPr>
        <w:t xml:space="preserve"> (ФГБОУ ВО «КНИТУ»),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Казань</w:t>
      </w:r>
      <w:r w:rsidDel="00000000" w:rsidR="00000000" w:rsidRPr="00000000">
        <w:rPr>
          <w:i w:val="1"/>
          <w:color w:val="000000"/>
          <w:rtl w:val="0"/>
        </w:rPr>
        <w:t xml:space="preserve">, Россия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E-mail: panaevaangelina@mail.ru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Целью работы является изучение кинетики процессов растворения галогенидов (сильвинитов) Якшинского месторождения Республики Коми и определение влияния на скорость их растворения водонерастворимого остатка.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Актуальность работы обусловлена тем, что Галогениды представляют собой соединения галогенов с другими химическими элементами или радикалами. В основном они содержат калийно-натриевые соли и являются востребованным сырьем в химической промышленности. Поэтому изучение кинетики процессов растворения имеет немаловажное значение для галургичесих предприятий.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Методы исследования: АЭС-спектрометрия, титриметрия, термогра- виметрия, оптико-физический, РКФА.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Основные результаты: В результате исследований доказано неблагоприятное воздействие водонерастворимого остатка на процессы растворения сильвинитов Якшинского месторождения Республики Коми[1]. На скорость растворения образцов сильвинита в основном оказывает воздействие содержание нерастворимой составляющей и формы ее нахождения в образцах[2][3]. Этот же фактор помимо количественного содержания сильвина в образце оказывает влияние и на выход хлористого калия в раствор. В сильвинитах волнисто-слоистой структуры, скорость перехода KCl в раствор сопряжен с проникновением растворителя через слой галопелитового материала. Скорость растворения определяется диффузией в порах и каналах нерастворимых в воде примесей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Выводы и значение: Исследован химический, минеральный состав водонерастворимого остатка, идентифицированы слагающие его минералы, изучено его термическое поведение и физико-механические свойства. Установленные закономерности могут оказывать существенное влияние на процессы, происходящие при скважинной добыче (подземное растворение) и галургической переработке сильвинитовых пород.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Ключевые слова: галогениды, сильвинит, галит, Якшинское месторождение, растворение, скорость растворения, водонерастворимый остаток, галопелитовый материал,фазовый состав, термическое поведение, удельная поверхность.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Э. О. Баяндина Нерастворимый остаток солей Верхнекамского месторождения, Типограф, Пермь, 2015. 102 с.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Н. А. Каражанов Основы кинетики растворения солей. Наука, Алма-Ата, 1989. 192 с.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Нажарова Л. Н., Шакиров Т. Р., Вафина М.С., Горный информационно- аналитический бюллетень, 11, 146-158 (2021).</w:t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1C38"/>
    <w:rPr>
      <w:rFonts w:ascii="Times New Roman" w:cs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 w:val="1"/>
    <w:rsid w:val="00106375"/>
    <w:pPr>
      <w:ind w:left="720"/>
      <w:contextualSpacing w:val="1"/>
    </w:pPr>
  </w:style>
  <w:style w:type="character" w:styleId="a6" w:customStyle="1">
    <w:name w:val="Абзац списка Знак"/>
    <w:basedOn w:val="a0"/>
    <w:link w:val="a5"/>
    <w:uiPriority w:val="34"/>
    <w:locked w:val="1"/>
    <w:rsid w:val="004A26A3"/>
  </w:style>
  <w:style w:type="character" w:styleId="a7">
    <w:name w:val="Placeholder Text"/>
    <w:basedOn w:val="a0"/>
    <w:uiPriority w:val="99"/>
    <w:semiHidden w:val="1"/>
    <w:rsid w:val="00E22189"/>
    <w:rPr>
      <w:color w:val="808080"/>
    </w:rPr>
  </w:style>
  <w:style w:type="paragraph" w:styleId="a8">
    <w:name w:val="No Spacing"/>
    <w:uiPriority w:val="1"/>
    <w:qFormat w:val="1"/>
    <w:rsid w:val="00FF1903"/>
    <w:rPr>
      <w:rFonts w:cs="Times New Roman"/>
      <w:sz w:val="22"/>
      <w:szCs w:val="22"/>
      <w:lang w:bidi="en-US" w:eastAsia="en-US" w:val="en-US"/>
    </w:rPr>
  </w:style>
  <w:style w:type="character" w:styleId="a9">
    <w:name w:val="Hyperlink"/>
    <w:basedOn w:val="a0"/>
    <w:uiPriority w:val="99"/>
    <w:unhideWhenUsed w:val="1"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F865B3"/>
    <w:rPr>
      <w:color w:val="605e5c"/>
      <w:shd w:color="auto" w:fill="e1dfdd" w:val="clear"/>
    </w:rPr>
  </w:style>
  <w:style w:type="paragraph" w:styleId="ab">
    <w:name w:val="Revision"/>
    <w:hidden w:val="1"/>
    <w:uiPriority w:val="99"/>
    <w:semiHidden w:val="1"/>
    <w:rsid w:val="00AD7380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zJ3xTIpgDkfUy0T5l9F1ejy2g==">CgMxLjA4AHIhMW1ITXBFTUJ2cUhsVnhZSW9mRTBPQlVaNnVYNHk5bUlE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