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Исследование зависимости плотности изделий из ABS-пластика, полученных методом FDM-печати от коэффициента потока материала 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Саитгалиева А. З.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Студент, 4 курс бакалавриата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МИРЭА – Российский технологический университет, институт тонких химических технологий имени М.В. Ломоносова, кафедра химии и технологии переработки пластмасс и полимерных композитов, Москва, Россия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E-mail: alsusaitgalieva@mail.ru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сегодняшний день эксплуатационные свойства изделий, полученных методом трехмерной FDM-печати продолжают уступать литьевым. Во многом это связано с наличием пустот между слоями материала, образующимися в процессе наплавления филамента. Объемный расход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даваемого на слой материала влияет на величину пустот между слоями – чем больше расход материала, тем больше сами слои и меньше расстояние между ними, это способствует увеличению плотности напечатанного изделия, что приближает его характеристики к монолитн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ому. Соотношение фактического объемного расхода к теоретически необходимому регулируется параметром печати, называемым коэффициентом потока Q</w:t>
      </w:r>
      <w:r>
        <w:rPr>
          <w:rFonts w:ascii="Times New Roman" w:hAnsi="Times New Roman" w:eastAsia="Times New Roman" w:cs="Times New Roman"/>
          <w:color w:val="000000"/>
          <w:sz w:val="20"/>
          <w:vertAlign w:val="subscript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/Q</w:t>
      </w:r>
      <w:r>
        <w:rPr>
          <w:rFonts w:ascii="Times New Roman" w:hAnsi="Times New Roman" w:eastAsia="Times New Roman" w:cs="Times New Roman"/>
          <w:color w:val="000000"/>
          <w:sz w:val="20"/>
          <w:vertAlign w:val="subscript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Филамент для 3D-печати был получен на экструдере Scientific (Labtech Engeneering Co. Ltd., Тайланд) при 220</w:t>
      </w:r>
      <w:r>
        <w:rPr>
          <w:rFonts w:ascii="Cambria Math" w:hAnsi="Cambria Math" w:eastAsia="Cambria Math" w:cs="Cambria Math"/>
          <w:color w:val="000000"/>
          <w:sz w:val="24"/>
        </w:rPr>
        <w:t xml:space="preserve">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С его использованием на 3D-принтере Anyform XL250-G3 High-resolution 3D printer (Total Z, Россия) с d</w:t>
      </w:r>
      <w:r>
        <w:rPr>
          <w:rFonts w:ascii="Times New Roman" w:hAnsi="Times New Roman" w:eastAsia="Times New Roman" w:cs="Times New Roman"/>
          <w:color w:val="000000"/>
          <w:sz w:val="20"/>
          <w:vertAlign w:val="subscript"/>
        </w:rPr>
        <w:t xml:space="preserve">сопла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=0,4 при T</w:t>
      </w:r>
      <w:r>
        <w:rPr>
          <w:rFonts w:ascii="Times New Roman" w:hAnsi="Times New Roman" w:eastAsia="Times New Roman" w:cs="Times New Roman"/>
          <w:color w:val="000000"/>
          <w:sz w:val="20"/>
          <w:vertAlign w:val="subscript"/>
        </w:rPr>
        <w:t xml:space="preserve">стола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= 110℃, T</w:t>
      </w:r>
      <w:r>
        <w:rPr>
          <w:rFonts w:ascii="Times New Roman" w:hAnsi="Times New Roman" w:eastAsia="Times New Roman" w:cs="Times New Roman"/>
          <w:color w:val="000000"/>
          <w:sz w:val="20"/>
          <w:vertAlign w:val="subscript"/>
        </w:rPr>
        <w:t xml:space="preserve">сопла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= 230℃ и скорости печати 45 мм/с, высоте и ширине слоя – 0,2 и 0,4 мм соответственно, были напечатаны образцы из ABS-пластика марки ABS PA 757 (ООО «CHIMEI», Тайвань), с изменением значения коэффициента потока. Плотность полученных образцов определяли мет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одом гидростатического взвешивания (ГОСТ 15139-69).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рис. 1 представлена зависимость плотности образцов от коэффициента потока. При увеличении значения Q</w:t>
      </w:r>
      <w:r>
        <w:rPr>
          <w:rFonts w:ascii="Times New Roman" w:hAnsi="Times New Roman" w:eastAsia="Times New Roman" w:cs="Times New Roman"/>
          <w:color w:val="000000"/>
          <w:sz w:val="20"/>
          <w:vertAlign w:val="subscript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/Q</w:t>
      </w:r>
      <w:r>
        <w:rPr>
          <w:rFonts w:ascii="Times New Roman" w:hAnsi="Times New Roman" w:eastAsia="Times New Roman" w:cs="Times New Roman"/>
          <w:color w:val="000000"/>
          <w:sz w:val="20"/>
          <w:vertAlign w:val="subscript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от 0.85 до 1.0, плотность образцов возрастает на ~28% и далее практически не изменяется, приблизившись к паспортному значению плотности филамента, отмеченного пунктирной линией. 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Таким образом, оптимальное значение плотности при печати изделий с соответствием заданным параметрам формы в данных условиях достигается при значениях коэффициента потока не менее 1.0.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firstLine="0"/>
        <w:jc w:val="center"/>
        <w:spacing w:before="120" w:after="0" w:line="240" w:lineRule="auto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1787352</wp:posOffset>
                </wp:positionH>
                <wp:positionV relativeFrom="paragraph">
                  <wp:posOffset>544195</wp:posOffset>
                </wp:positionV>
                <wp:extent cx="2417618" cy="907473"/>
                <wp:effectExtent l="0" t="0" r="20955" b="26034"/>
                <wp:wrapNone/>
                <wp:docPr id="1" name="Полилиния: 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7618" cy="907473"/>
                        </a:xfrm>
                        <a:custGeom>
                          <a:avLst/>
                          <a:gdLst>
                            <a:gd name="connsiteX0" fmla="*/ 0 w 2417618"/>
                            <a:gd name="connsiteY0" fmla="*/ 907473 h 907473"/>
                            <a:gd name="connsiteX1" fmla="*/ 235527 w 2417618"/>
                            <a:gd name="connsiteY1" fmla="*/ 865909 h 907473"/>
                            <a:gd name="connsiteX2" fmla="*/ 457200 w 2417618"/>
                            <a:gd name="connsiteY2" fmla="*/ 685800 h 907473"/>
                            <a:gd name="connsiteX3" fmla="*/ 457200 w 2417618"/>
                            <a:gd name="connsiteY3" fmla="*/ 685800 h 907473"/>
                            <a:gd name="connsiteX4" fmla="*/ 568036 w 2417618"/>
                            <a:gd name="connsiteY4" fmla="*/ 207818 h 907473"/>
                            <a:gd name="connsiteX5" fmla="*/ 630382 w 2417618"/>
                            <a:gd name="connsiteY5" fmla="*/ 62345 h 907473"/>
                            <a:gd name="connsiteX6" fmla="*/ 852054 w 2417618"/>
                            <a:gd name="connsiteY6" fmla="*/ 6927 h 907473"/>
                            <a:gd name="connsiteX7" fmla="*/ 852054 w 2417618"/>
                            <a:gd name="connsiteY7" fmla="*/ 6927 h 907473"/>
                            <a:gd name="connsiteX8" fmla="*/ 1648691 w 2417618"/>
                            <a:gd name="connsiteY8" fmla="*/ 0 h 907473"/>
                            <a:gd name="connsiteX9" fmla="*/ 1648691 w 2417618"/>
                            <a:gd name="connsiteY9" fmla="*/ 0 h 907473"/>
                            <a:gd name="connsiteX10" fmla="*/ 2355273 w 2417618"/>
                            <a:gd name="connsiteY10" fmla="*/ 0 h 907473"/>
                            <a:gd name="connsiteX11" fmla="*/ 2417618 w 2417618"/>
                            <a:gd name="connsiteY11" fmla="*/ 0 h 9074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17618" h="907473" fill="norm" stroke="1" extrusionOk="0">
                              <a:moveTo>
                                <a:pt x="0" y="907473"/>
                              </a:moveTo>
                              <a:cubicBezTo>
                                <a:pt x="79663" y="905163"/>
                                <a:pt x="159327" y="902854"/>
                                <a:pt x="235527" y="865909"/>
                              </a:cubicBezTo>
                              <a:cubicBezTo>
                                <a:pt x="311727" y="828964"/>
                                <a:pt x="457200" y="685800"/>
                                <a:pt x="457200" y="685800"/>
                              </a:cubicBezTo>
                              <a:lnTo>
                                <a:pt x="457200" y="685800"/>
                              </a:lnTo>
                              <a:cubicBezTo>
                                <a:pt x="475673" y="606136"/>
                                <a:pt x="539172" y="311727"/>
                                <a:pt x="568036" y="207818"/>
                              </a:cubicBezTo>
                              <a:cubicBezTo>
                                <a:pt x="596900" y="103909"/>
                                <a:pt x="583046" y="95827"/>
                                <a:pt x="630382" y="62345"/>
                              </a:cubicBezTo>
                              <a:cubicBezTo>
                                <a:pt x="677718" y="28863"/>
                                <a:pt x="852054" y="6927"/>
                                <a:pt x="852054" y="6927"/>
                              </a:cubicBezTo>
                              <a:lnTo>
                                <a:pt x="852054" y="6927"/>
                              </a:lnTo>
                              <a:lnTo>
                                <a:pt x="1648691" y="0"/>
                              </a:lnTo>
                              <a:lnTo>
                                <a:pt x="1648691" y="0"/>
                              </a:lnTo>
                              <a:lnTo>
                                <a:pt x="2355273" y="0"/>
                              </a:lnTo>
                              <a:lnTo>
                                <a:pt x="2417618" y="0"/>
                              </a:lnTo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60288;o:allowoverlap:true;o:allowincell:true;mso-position-horizontal-relative:text;margin-left:140.74pt;mso-position-horizontal:absolute;mso-position-vertical-relative:text;margin-top:42.85pt;mso-position-vertical:absolute;width:190.36pt;height:71.45pt;mso-wrap-distance-left:9.00pt;mso-wrap-distance-top:0.00pt;mso-wrap-distance-right:9.00pt;mso-wrap-distance-bottom:0.00pt;visibility:visible;" path="m0,100000l0,100000c3294,99745,6588,99491,9741,95419l9741,95419c12894,91347,18910,75572,18910,75572l18910,75572l18910,75572c19674,66792,22301,34350,23495,22900l23495,22900c24688,11449,24116,10558,26074,6868l26074,6868c28032,3181,35243,762,35243,762l35243,762l68194,0l68194,0l97419,0l100000,0e" coordsize="100000,100000" filled="f" strokecolor="#0B131C" strokeweight="1.50pt">
                <v:path textboxrect="0,0,100000,100000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1617634</wp:posOffset>
                </wp:positionH>
                <wp:positionV relativeFrom="paragraph">
                  <wp:posOffset>419100</wp:posOffset>
                </wp:positionV>
                <wp:extent cx="2757054" cy="0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5705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visibility:visible;" from="127.4pt,33.0pt" to="344.5pt,33.0pt" filled="f" strokecolor="#000000" strokeweight="0.75pt">
                <v:stroke dashstyle="dash"/>
              </v:line>
            </w:pict>
          </mc:Fallback>
        </mc:AlternateContent>
      </w:r>
      <w:r>
        <w:drawing>
          <wp:inline distT="0" distB="0" distL="0" distR="0">
            <wp:extent cx="3479800" cy="2167467"/>
            <wp:effectExtent l="0" t="0" r="6350" b="444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397"/>
        <w:jc w:val="center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Рис. 1. Зависимость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плотности от коэффициента потока для ABS PA-757</w:t>
      </w:r>
      <w:r/>
    </w:p>
    <w:sectPr>
      <w:footnotePr/>
      <w:endnotePr/>
      <w:type w:val="nextPage"/>
      <w:pgSz w:w="11906" w:h="16841" w:orient="portrait"/>
      <w:pgMar w:top="1418" w:right="1418" w:bottom="1418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MS Gothic">
    <w:panose1 w:val="020B06060303040B0204"/>
  </w:font>
  <w:font w:name="Cambria">
    <w:panose1 w:val="02040503050406030204"/>
  </w:font>
  <w:font w:name="Arial">
    <w:panose1 w:val="020B0604020202020204"/>
  </w:font>
  <w:font w:name="Yu Mincho">
    <w:panose1 w:val="02000503000000000000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Yu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4"/>
    <w:next w:val="834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6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6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6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6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6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ind w:left="10" w:hanging="10"/>
      <w:jc w:val="both"/>
      <w:spacing w:after="15" w:line="270" w:lineRule="auto"/>
    </w:pPr>
    <w:rPr>
      <w:rFonts w:ascii="Times New Roman" w:hAnsi="Times New Roman"/>
      <w:color w:val="000000"/>
      <w:sz w:val="28"/>
      <w:szCs w:val="22"/>
      <w:lang w:eastAsia="ja-JP"/>
    </w:rPr>
  </w:style>
  <w:style w:type="paragraph" w:styleId="835">
    <w:name w:val="Heading 1"/>
    <w:basedOn w:val="834"/>
    <w:next w:val="834"/>
    <w:link w:val="841"/>
    <w:qFormat/>
    <w:pPr>
      <w:keepNext/>
      <w:spacing w:before="240" w:after="60"/>
      <w:outlineLvl w:val="0"/>
    </w:pPr>
    <w:rPr>
      <w:rFonts w:ascii="Cambria" w:hAnsi="Cambria" w:eastAsia="MS Gothic"/>
      <w:b/>
      <w:bCs/>
      <w:sz w:val="32"/>
      <w:szCs w:val="32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4"/>
    <w:uiPriority w:val="99"/>
    <w:qFormat/>
    <w:pPr>
      <w:contextualSpacing/>
      <w:ind w:left="720" w:firstLine="0"/>
      <w:jc w:val="left"/>
      <w:spacing w:before="25" w:after="0" w:line="240" w:lineRule="auto"/>
    </w:pPr>
    <w:rPr>
      <w:rFonts w:ascii="Calibri" w:hAnsi="Calibri"/>
      <w:color w:val="auto"/>
      <w:szCs w:val="28"/>
      <w:lang w:eastAsia="ru-RU"/>
    </w:rPr>
  </w:style>
  <w:style w:type="paragraph" w:styleId="840">
    <w:name w:val="Normal (Web)"/>
    <w:basedOn w:val="834"/>
    <w:uiPriority w:val="99"/>
    <w:unhideWhenUsed/>
    <w:pPr>
      <w:ind w:left="0" w:firstLine="0"/>
      <w:jc w:val="left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styleId="841" w:customStyle="1">
    <w:name w:val="Заголовок 1 Знак"/>
    <w:link w:val="835"/>
    <w:rPr>
      <w:rFonts w:ascii="Cambria" w:hAnsi="Cambria" w:eastAsia="MS Gothic" w:cs="Times New Roman"/>
      <w:b/>
      <w:bCs/>
      <w:color w:val="000000"/>
      <w:sz w:val="32"/>
      <w:szCs w:val="32"/>
      <w:lang w:eastAsia="ja-JP"/>
    </w:rPr>
  </w:style>
  <w:style w:type="character" w:styleId="842" w:customStyle="1">
    <w:name w:val="docdata"/>
    <w:basedOn w:val="83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049"/>
          <c:y val="0.069052"/>
          <c:w val="0.781939"/>
          <c:h val="0.734390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плотность</c:v>
                </c:pt>
              </c:strCache>
            </c:strRef>
          </c:tx>
          <c:spPr bwMode="auto">
            <a:prstGeom prst="rect">
              <a:avLst/>
            </a:prstGeom>
            <a:ln w="19050" cap="rnd">
              <a:noFill/>
              <a:round/>
            </a:ln>
            <a:effectLst/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Лист1!$A$2:$A$14</c:f>
              <c:numCache>
                <c:formatCode>General</c:formatCode>
                <c:ptCount val="13"/>
                <c:pt idx="0">
                  <c:v>0.85</c:v>
                </c:pt>
                <c:pt idx="1">
                  <c:v>0.9</c:v>
                </c:pt>
                <c:pt idx="2">
                  <c:v>0.95</c:v>
                </c:pt>
                <c:pt idx="3">
                  <c:v>1</c:v>
                </c:pt>
                <c:pt idx="4">
                  <c:v>1.05</c:v>
                </c:pt>
                <c:pt idx="5">
                  <c:v>1.1</c:v>
                </c:pt>
                <c:pt idx="6">
                  <c:v>1.15</c:v>
                </c:pt>
                <c:pt idx="7">
                  <c:v>1.2</c:v>
                </c:pt>
                <c:pt idx="8">
                  <c:v>1.25</c:v>
                </c:pt>
                <c:pt idx="9">
                  <c:v>1.3</c:v>
                </c:pt>
                <c:pt idx="10">
                  <c:v>1.35</c:v>
                </c:pt>
                <c:pt idx="11">
                  <c:v>1.4</c:v>
                </c:pt>
                <c:pt idx="12">
                  <c:v>1.45</c:v>
                </c:pt>
              </c:numCache>
            </c:numRef>
          </c:xVal>
          <c:yVal>
            <c:numRef>
              <c:f>Лист1!$B$2:$B$14</c:f>
              <c:numCache>
                <c:formatCode>General</c:formatCode>
                <c:ptCount val="13"/>
                <c:pt idx="0">
                  <c:v>0.71</c:v>
                </c:pt>
                <c:pt idx="1">
                  <c:v>0.73</c:v>
                </c:pt>
                <c:pt idx="2">
                  <c:v>0.76</c:v>
                </c:pt>
                <c:pt idx="3">
                  <c:v>0.98</c:v>
                </c:pt>
                <c:pt idx="4">
                  <c:v>0.98</c:v>
                </c:pt>
                <c:pt idx="5">
                  <c:v>0.99</c:v>
                </c:pt>
                <c:pt idx="6">
                  <c:v>0.99</c:v>
                </c:pt>
                <c:pt idx="7">
                  <c:v>0.99</c:v>
                </c:pt>
                <c:pt idx="8">
                  <c:v>0.99</c:v>
                </c:pt>
                <c:pt idx="9">
                  <c:v>0.99</c:v>
                </c:pt>
                <c:pt idx="10">
                  <c:v>0.99</c:v>
                </c:pt>
                <c:pt idx="11">
                  <c:v>1.01</c:v>
                </c:pt>
                <c:pt idx="12">
                  <c:v>0.99</c:v>
                </c:pt>
              </c:numCache>
            </c:numRef>
          </c:y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axId val="1437930239"/>
        <c:axId val="1437940799"/>
      </c:scatterChart>
      <c:valAx>
        <c:axId val="1437930239"/>
        <c:scaling>
          <c:orientation val="minMax"/>
          <c:max val="1.500000"/>
          <c:min val="0.800000"/>
        </c:scaling>
        <c:delete val="0"/>
        <c:axPos val="b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ru-RU"/>
                  <a:t>Коэффициент</a:t>
                </a:r>
                <a:r>
                  <a:rPr lang="ru-RU"/>
                  <a:t> потока</a:t>
                </a:r>
                <a:endParaRPr lang="ru-RU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>
                  <a:solidFill>
                    <a:sysClr val="windowText" lastClr="000000"/>
                  </a:solidFill>
                  <a:latin typeface="Times New Roman"/>
                  <a:ea typeface="+mn-ea"/>
                  <a:cs typeface="Times New Roman"/>
                </a:defRPr>
              </a:pPr>
              <a:endParaRPr lang="ru-RU"/>
            </a:p>
          </c:txPr>
        </c:title>
        <c:numFmt formatCode="General" sourceLinked="1"/>
        <c:majorTickMark val="in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437940799"/>
        <c:crosses val="autoZero"/>
        <c:crossBetween val="midCat"/>
      </c:valAx>
      <c:valAx>
        <c:axId val="1437940799"/>
        <c:scaling>
          <c:orientation val="minMax"/>
          <c:min val="0.600000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r>
                  <a:rPr lang="el-GR"/>
                  <a:t>ρ</a:t>
                </a:r>
                <a:r>
                  <a:rPr lang="ru-RU"/>
                  <a:t>, г/см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>
                  <a:solidFill>
                    <a:sysClr val="windowText" lastClr="000000"/>
                  </a:solidFill>
                  <a:latin typeface="Times New Roman"/>
                  <a:ea typeface="+mn-ea"/>
                  <a:cs typeface="Times New Roman"/>
                </a:defRPr>
              </a:pPr>
              <a:endParaRPr lang="ru-RU"/>
            </a:p>
          </c:txPr>
        </c:title>
        <c:numFmt formatCode="General" sourceLinked="1"/>
        <c:majorTickMark val="in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Times New Roman"/>
              </a:defRPr>
            </a:pPr>
            <a:endParaRPr lang="ru-RU"/>
          </a:p>
        </c:txPr>
        <c:crossAx val="1437930239"/>
        <c:crosses val="autoZero"/>
        <c:crossBetween val="midCat"/>
        <c:majorUnit val="0.100000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>
          <a:solidFill>
            <a:sysClr val="windowText" lastClr="000000"/>
          </a:solidFill>
          <a:latin typeface="Times New Roman"/>
          <a:cs typeface="Times New Roman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Саитгалиева Алсу Земфировна</cp:lastModifiedBy>
  <cp:revision>12</cp:revision>
  <dcterms:created xsi:type="dcterms:W3CDTF">2025-02-19T10:30:00Z</dcterms:created>
  <dcterms:modified xsi:type="dcterms:W3CDTF">2025-03-03T03:55:50Z</dcterms:modified>
</cp:coreProperties>
</file>