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68C" w:rsidRDefault="001A6BF0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</w:t>
      </w:r>
      <w:r w:rsidR="00CA5F59" w:rsidRPr="001D4DCF">
        <w:rPr>
          <w:b/>
          <w:color w:val="000000"/>
        </w:rPr>
        <w:t>ано</w:t>
      </w:r>
      <w:r w:rsidR="0089368C" w:rsidRPr="001D4DCF">
        <w:rPr>
          <w:b/>
          <w:color w:val="000000"/>
        </w:rPr>
        <w:t>кристаллически</w:t>
      </w:r>
      <w:r>
        <w:rPr>
          <w:b/>
          <w:color w:val="000000"/>
        </w:rPr>
        <w:t>е</w:t>
      </w:r>
      <w:r w:rsidR="0089368C" w:rsidRPr="001D4DCF">
        <w:rPr>
          <w:b/>
          <w:color w:val="000000"/>
        </w:rPr>
        <w:t xml:space="preserve"> люминофор</w:t>
      </w:r>
      <w:r>
        <w:rPr>
          <w:b/>
          <w:color w:val="000000"/>
        </w:rPr>
        <w:t>ы</w:t>
      </w:r>
      <w:r w:rsidR="001D4DCF" w:rsidRPr="001D4DCF">
        <w:rPr>
          <w:b/>
          <w:color w:val="000000"/>
        </w:rPr>
        <w:t xml:space="preserve"> состава </w:t>
      </w:r>
      <w:r w:rsidR="0089368C" w:rsidRPr="001D4DCF">
        <w:rPr>
          <w:b/>
          <w:color w:val="000000"/>
        </w:rPr>
        <w:t>RbGd</w:t>
      </w:r>
      <w:r w:rsidR="0089368C" w:rsidRPr="001D4DCF">
        <w:rPr>
          <w:b/>
          <w:color w:val="000000"/>
          <w:vertAlign w:val="subscript"/>
        </w:rPr>
        <w:t>2</w:t>
      </w:r>
      <w:r w:rsidR="0089368C" w:rsidRPr="001D4DCF">
        <w:rPr>
          <w:b/>
          <w:color w:val="000000"/>
        </w:rPr>
        <w:t>F</w:t>
      </w:r>
      <w:r w:rsidR="0089368C" w:rsidRPr="001D4DCF">
        <w:rPr>
          <w:b/>
          <w:color w:val="000000"/>
          <w:vertAlign w:val="subscript"/>
        </w:rPr>
        <w:t>7</w:t>
      </w:r>
      <w:r w:rsidR="0089368C" w:rsidRPr="001D4DCF">
        <w:rPr>
          <w:b/>
          <w:color w:val="000000"/>
        </w:rPr>
        <w:t>:E</w:t>
      </w:r>
      <w:r w:rsidR="0089368C" w:rsidRPr="001D4DCF">
        <w:rPr>
          <w:b/>
          <w:color w:val="000000"/>
          <w:lang w:val="en-US"/>
        </w:rPr>
        <w:t>u</w:t>
      </w:r>
      <w:r w:rsidR="0089368C" w:rsidRPr="001D4DCF">
        <w:rPr>
          <w:b/>
          <w:color w:val="000000"/>
          <w:vertAlign w:val="superscript"/>
        </w:rPr>
        <w:t>3+</w:t>
      </w:r>
      <w:r w:rsidR="0089368C" w:rsidRPr="0089368C">
        <w:rPr>
          <w:b/>
          <w:color w:val="000000"/>
        </w:rPr>
        <w:t xml:space="preserve"> </w:t>
      </w:r>
    </w:p>
    <w:p w:rsidR="0089368C" w:rsidRPr="00CA5F59" w:rsidRDefault="0089368C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726BD">
        <w:rPr>
          <w:b/>
          <w:i/>
          <w:color w:val="000000"/>
        </w:rPr>
        <w:t>Синицкий К.В</w:t>
      </w:r>
      <w:r w:rsidR="00130F6D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 w:rsidR="00872161">
        <w:rPr>
          <w:b/>
          <w:i/>
          <w:color w:val="000000"/>
        </w:rPr>
        <w:t>Причислый</w:t>
      </w:r>
      <w:proofErr w:type="spellEnd"/>
      <w:r w:rsidR="00872161">
        <w:rPr>
          <w:b/>
          <w:i/>
          <w:color w:val="000000"/>
        </w:rPr>
        <w:t xml:space="preserve"> К</w:t>
      </w:r>
      <w:r w:rsidR="00514A4F">
        <w:rPr>
          <w:b/>
          <w:i/>
          <w:color w:val="000000"/>
        </w:rPr>
        <w:t>.</w:t>
      </w:r>
      <w:r w:rsidR="00872161">
        <w:rPr>
          <w:b/>
          <w:i/>
          <w:color w:val="000000"/>
        </w:rPr>
        <w:t>С</w:t>
      </w:r>
      <w:r w:rsidR="00130F6D">
        <w:rPr>
          <w:b/>
          <w:i/>
          <w:color w:val="000000"/>
        </w:rPr>
        <w:t>.</w:t>
      </w:r>
      <w:r w:rsidR="006C033C">
        <w:rPr>
          <w:b/>
          <w:color w:val="000000"/>
        </w:rPr>
        <w:t xml:space="preserve">, </w:t>
      </w:r>
      <w:r w:rsidR="006C033C" w:rsidRPr="001D4DCF">
        <w:rPr>
          <w:b/>
          <w:i/>
          <w:iCs/>
          <w:color w:val="000000"/>
        </w:rPr>
        <w:t>Бетина А.А.</w:t>
      </w:r>
      <w:r w:rsidR="00A73C0D">
        <w:rPr>
          <w:b/>
          <w:i/>
          <w:iCs/>
          <w:color w:val="000000"/>
        </w:rPr>
        <w:t>,</w:t>
      </w:r>
      <w:r w:rsidR="006C033C" w:rsidRPr="001D4DCF">
        <w:rPr>
          <w:b/>
          <w:i/>
          <w:iCs/>
          <w:color w:val="000000"/>
        </w:rPr>
        <w:t xml:space="preserve"> Петрова А.Л.</w:t>
      </w:r>
    </w:p>
    <w:p w:rsidR="00130F6D" w:rsidRPr="00B36D45" w:rsidRDefault="0089368C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36D45">
        <w:rPr>
          <w:i/>
          <w:color w:val="000000"/>
        </w:rPr>
        <w:t xml:space="preserve">Студент, </w:t>
      </w:r>
      <w:r w:rsidR="000F7689" w:rsidRPr="00B36D45">
        <w:rPr>
          <w:i/>
          <w:color w:val="000000"/>
        </w:rPr>
        <w:t>2</w:t>
      </w:r>
      <w:r w:rsidRPr="00B36D45">
        <w:rPr>
          <w:i/>
          <w:color w:val="000000"/>
        </w:rPr>
        <w:t xml:space="preserve"> курс </w:t>
      </w:r>
      <w:r w:rsidR="000F7689" w:rsidRPr="00B36D45">
        <w:rPr>
          <w:i/>
          <w:color w:val="000000"/>
        </w:rPr>
        <w:t>бакалавриата</w:t>
      </w:r>
      <w:r w:rsidRPr="00B36D45">
        <w:rPr>
          <w:i/>
          <w:color w:val="000000"/>
        </w:rPr>
        <w:t xml:space="preserve"> </w:t>
      </w:r>
    </w:p>
    <w:p w:rsidR="00130F6D" w:rsidRDefault="00130F6D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36D45">
        <w:rPr>
          <w:i/>
          <w:iCs/>
          <w:color w:val="000000"/>
        </w:rPr>
        <w:t>Санкт-Петербургский государственный университет, И</w:t>
      </w:r>
      <w:r w:rsidR="000F7689" w:rsidRPr="00B36D45">
        <w:rPr>
          <w:i/>
          <w:color w:val="000000"/>
        </w:rPr>
        <w:t>нститут</w:t>
      </w:r>
      <w:r w:rsidR="000F7689">
        <w:rPr>
          <w:i/>
          <w:color w:val="000000"/>
        </w:rPr>
        <w:t xml:space="preserve"> химии,</w:t>
      </w:r>
      <w:r w:rsidR="0089368C">
        <w:rPr>
          <w:i/>
          <w:color w:val="000000"/>
        </w:rPr>
        <w:t xml:space="preserve"> </w:t>
      </w:r>
    </w:p>
    <w:p w:rsidR="0089368C" w:rsidRPr="005329AE" w:rsidRDefault="000F7689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</w:t>
      </w:r>
      <w:r w:rsidR="0089368C">
        <w:rPr>
          <w:i/>
          <w:color w:val="000000"/>
        </w:rPr>
        <w:t>, Россия</w:t>
      </w:r>
    </w:p>
    <w:p w:rsidR="00CA5F59" w:rsidRPr="005D68C7" w:rsidRDefault="0089368C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 w:rsidRPr="00AB7B52">
        <w:rPr>
          <w:i/>
          <w:color w:val="000000"/>
          <w:lang w:val="de-DE"/>
        </w:rPr>
        <w:t>E-mail</w:t>
      </w:r>
      <w:proofErr w:type="spellEnd"/>
      <w:r w:rsidRPr="00C14C34">
        <w:rPr>
          <w:i/>
          <w:color w:val="000000"/>
          <w:lang w:val="de-DE"/>
        </w:rPr>
        <w:t xml:space="preserve">: </w:t>
      </w:r>
      <w:hyperlink r:id="rId6" w:history="1">
        <w:r w:rsidR="00AB7B52" w:rsidRPr="00C14C34">
          <w:rPr>
            <w:rStyle w:val="ac"/>
            <w:i/>
            <w:color w:val="000000"/>
            <w:lang w:val="de-DE"/>
          </w:rPr>
          <w:t>s</w:t>
        </w:r>
        <w:r w:rsidR="0063070E" w:rsidRPr="00C14C34">
          <w:rPr>
            <w:rStyle w:val="ac"/>
            <w:i/>
            <w:color w:val="000000"/>
            <w:lang w:val="de-DE"/>
          </w:rPr>
          <w:t>t117567@student.spbu.ru</w:t>
        </w:r>
      </w:hyperlink>
    </w:p>
    <w:p w:rsidR="00604BA3" w:rsidRDefault="00AD58B2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58B2">
        <w:rPr>
          <w:color w:val="000000"/>
        </w:rPr>
        <w:t xml:space="preserve">Кристаллические люминофоры на основе </w:t>
      </w:r>
      <w:r w:rsidR="001B5245">
        <w:rPr>
          <w:color w:val="000000"/>
        </w:rPr>
        <w:t>твердых растворов</w:t>
      </w:r>
      <w:r w:rsidR="00604BA3">
        <w:rPr>
          <w:color w:val="000000"/>
        </w:rPr>
        <w:t xml:space="preserve"> </w:t>
      </w:r>
      <w:r w:rsidR="001B5245">
        <w:rPr>
          <w:color w:val="000000"/>
        </w:rPr>
        <w:t xml:space="preserve">фторидов </w:t>
      </w:r>
      <w:r w:rsidR="001B5245" w:rsidRPr="00B36D45">
        <w:rPr>
          <w:color w:val="000000"/>
        </w:rPr>
        <w:t>редкоземельных элементов и щелочных металлов</w:t>
      </w:r>
      <w:r w:rsidR="00B36D45">
        <w:rPr>
          <w:color w:val="000000"/>
        </w:rPr>
        <w:t xml:space="preserve"> </w:t>
      </w:r>
      <w:r w:rsidRPr="00B36D45">
        <w:rPr>
          <w:color w:val="000000"/>
        </w:rPr>
        <w:t>представляют</w:t>
      </w:r>
      <w:r w:rsidRPr="00AD58B2">
        <w:rPr>
          <w:color w:val="000000"/>
        </w:rPr>
        <w:t xml:space="preserve"> значительный интерес для биомедицины [1]</w:t>
      </w:r>
      <w:r w:rsidR="00872161">
        <w:rPr>
          <w:color w:val="000000"/>
        </w:rPr>
        <w:t xml:space="preserve"> и</w:t>
      </w:r>
      <w:r w:rsidRPr="00AD58B2">
        <w:rPr>
          <w:color w:val="000000"/>
        </w:rPr>
        <w:t xml:space="preserve"> оптоэлектроники [2, 3] благодаря их высокой стабильности</w:t>
      </w:r>
      <w:r w:rsidR="00872161">
        <w:rPr>
          <w:color w:val="000000"/>
        </w:rPr>
        <w:t xml:space="preserve"> и сочетанию магнитных и люминесцентных свойств</w:t>
      </w:r>
      <w:r w:rsidRPr="00AD58B2">
        <w:rPr>
          <w:color w:val="000000"/>
        </w:rPr>
        <w:t xml:space="preserve">. </w:t>
      </w:r>
      <w:r w:rsidR="00604BA3">
        <w:rPr>
          <w:color w:val="000000"/>
        </w:rPr>
        <w:t>Ф</w:t>
      </w:r>
      <w:r w:rsidRPr="00AD58B2">
        <w:rPr>
          <w:color w:val="000000"/>
        </w:rPr>
        <w:t xml:space="preserve">ункциональные свойства </w:t>
      </w:r>
      <w:r w:rsidR="00604BA3">
        <w:rPr>
          <w:color w:val="000000"/>
        </w:rPr>
        <w:t>таких соединений определяются</w:t>
      </w:r>
      <w:r w:rsidRPr="00AD58B2">
        <w:rPr>
          <w:color w:val="000000"/>
        </w:rPr>
        <w:t xml:space="preserve"> </w:t>
      </w:r>
      <w:r w:rsidR="00604BA3">
        <w:rPr>
          <w:color w:val="000000"/>
        </w:rPr>
        <w:t>широким набором факторов</w:t>
      </w:r>
      <w:r w:rsidR="00B36D45">
        <w:rPr>
          <w:color w:val="000000"/>
        </w:rPr>
        <w:t>, позволяющим осуществлять их тонкую настройку, среди которых основные:</w:t>
      </w:r>
      <w:r w:rsidR="00604BA3">
        <w:rPr>
          <w:color w:val="000000"/>
        </w:rPr>
        <w:t xml:space="preserve"> природ</w:t>
      </w:r>
      <w:r w:rsidR="00B36D45">
        <w:rPr>
          <w:color w:val="000000"/>
        </w:rPr>
        <w:t>а</w:t>
      </w:r>
      <w:r w:rsidR="00872161">
        <w:rPr>
          <w:color w:val="000000"/>
        </w:rPr>
        <w:t xml:space="preserve"> элементов</w:t>
      </w:r>
      <w:r w:rsidR="00604BA3">
        <w:rPr>
          <w:color w:val="000000"/>
        </w:rPr>
        <w:t xml:space="preserve"> и их относительн</w:t>
      </w:r>
      <w:r w:rsidR="00B36D45">
        <w:rPr>
          <w:color w:val="000000"/>
        </w:rPr>
        <w:t>ое</w:t>
      </w:r>
      <w:r w:rsidR="00604BA3">
        <w:rPr>
          <w:color w:val="000000"/>
        </w:rPr>
        <w:t xml:space="preserve"> содержание, фазовы</w:t>
      </w:r>
      <w:r w:rsidR="00B36D45">
        <w:rPr>
          <w:color w:val="000000"/>
        </w:rPr>
        <w:t>й</w:t>
      </w:r>
      <w:r w:rsidR="00604BA3">
        <w:rPr>
          <w:color w:val="000000"/>
        </w:rPr>
        <w:t xml:space="preserve"> состав, условия синтеза</w:t>
      </w:r>
      <w:r w:rsidR="009E1FB7">
        <w:rPr>
          <w:color w:val="000000"/>
        </w:rPr>
        <w:t xml:space="preserve"> [4]</w:t>
      </w:r>
      <w:r w:rsidR="00B36D45">
        <w:rPr>
          <w:color w:val="000000"/>
        </w:rPr>
        <w:t xml:space="preserve">. </w:t>
      </w:r>
      <w:r w:rsidR="00604BA3">
        <w:rPr>
          <w:color w:val="000000"/>
        </w:rPr>
        <w:t>Поиск оптимальных составов таких твердых растворов, а также исследование связи «состав – свойство» составляет актуальную экспериментальную задачу в области синтеза</w:t>
      </w:r>
      <w:r w:rsidR="00957C0D">
        <w:rPr>
          <w:color w:val="000000"/>
        </w:rPr>
        <w:t xml:space="preserve"> и исследования</w:t>
      </w:r>
      <w:r w:rsidR="00604BA3">
        <w:rPr>
          <w:color w:val="000000"/>
        </w:rPr>
        <w:t xml:space="preserve"> люминофоров. </w:t>
      </w:r>
    </w:p>
    <w:p w:rsidR="00776B9C" w:rsidRDefault="00B36D45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36D45">
        <w:rPr>
          <w:color w:val="000000"/>
        </w:rPr>
        <w:t>М</w:t>
      </w:r>
      <w:r w:rsidRPr="00B36D45">
        <w:rPr>
          <w:iCs/>
          <w:color w:val="000000"/>
        </w:rPr>
        <w:t xml:space="preserve">етодом гидротермального синтеза </w:t>
      </w:r>
      <w:r>
        <w:rPr>
          <w:iCs/>
          <w:color w:val="000000"/>
        </w:rPr>
        <w:t xml:space="preserve">получен ряд </w:t>
      </w:r>
      <w:r w:rsidR="001A6BF0" w:rsidRPr="001A6BF0">
        <w:rPr>
          <w:iCs/>
          <w:color w:val="000000"/>
        </w:rPr>
        <w:t xml:space="preserve">люминофоров </w:t>
      </w:r>
      <w:r w:rsidR="001A6BF0" w:rsidRPr="001A6BF0">
        <w:rPr>
          <w:color w:val="000000"/>
        </w:rPr>
        <w:t>RbGd</w:t>
      </w:r>
      <w:r w:rsidR="001A6BF0" w:rsidRPr="001A6BF0">
        <w:rPr>
          <w:color w:val="000000"/>
          <w:vertAlign w:val="subscript"/>
        </w:rPr>
        <w:t>2</w:t>
      </w:r>
      <w:r w:rsidR="001A6BF0" w:rsidRPr="001A6BF0">
        <w:rPr>
          <w:color w:val="000000"/>
        </w:rPr>
        <w:t>F</w:t>
      </w:r>
      <w:r w:rsidR="001A6BF0" w:rsidRPr="001A6BF0">
        <w:rPr>
          <w:color w:val="000000"/>
          <w:vertAlign w:val="subscript"/>
        </w:rPr>
        <w:t>7</w:t>
      </w:r>
      <w:r w:rsidR="001A6BF0" w:rsidRPr="001A6BF0">
        <w:rPr>
          <w:iCs/>
          <w:color w:val="000000"/>
        </w:rPr>
        <w:t>,</w:t>
      </w:r>
      <w:r w:rsidR="001A6BF0">
        <w:rPr>
          <w:iCs/>
          <w:color w:val="000000"/>
        </w:rPr>
        <w:t xml:space="preserve"> легированных ионами </w:t>
      </w:r>
      <w:proofErr w:type="gramStart"/>
      <w:r w:rsidR="001A6BF0">
        <w:rPr>
          <w:iCs/>
          <w:color w:val="000000"/>
        </w:rPr>
        <w:t>европия(</w:t>
      </w:r>
      <w:proofErr w:type="gramEnd"/>
      <w:r w:rsidR="001A6BF0">
        <w:rPr>
          <w:iCs/>
          <w:color w:val="000000"/>
          <w:lang w:val="en-US"/>
        </w:rPr>
        <w:t>III</w:t>
      </w:r>
      <w:r w:rsidR="001A6BF0" w:rsidRPr="001A6BF0">
        <w:rPr>
          <w:iCs/>
          <w:color w:val="000000"/>
        </w:rPr>
        <w:t>)</w:t>
      </w:r>
      <w:r w:rsidR="001A6BF0">
        <w:rPr>
          <w:iCs/>
          <w:color w:val="000000"/>
        </w:rPr>
        <w:t>.</w:t>
      </w:r>
      <w:r w:rsidRPr="00B36D45">
        <w:rPr>
          <w:iCs/>
          <w:color w:val="000000"/>
        </w:rPr>
        <w:t xml:space="preserve"> </w:t>
      </w:r>
      <w:r w:rsidR="001A6BF0">
        <w:rPr>
          <w:iCs/>
          <w:color w:val="000000"/>
        </w:rPr>
        <w:t>Согласно рентгенофазовому анализу, в</w:t>
      </w:r>
      <w:r w:rsidRPr="00B36D45">
        <w:rPr>
          <w:iCs/>
          <w:color w:val="000000"/>
        </w:rPr>
        <w:t xml:space="preserve">се соединения кристаллизуются в </w:t>
      </w:r>
      <w:r w:rsidR="001A6BF0">
        <w:rPr>
          <w:iCs/>
          <w:color w:val="000000"/>
        </w:rPr>
        <w:t>ортогональной</w:t>
      </w:r>
      <w:r w:rsidRPr="00B36D45">
        <w:rPr>
          <w:iCs/>
          <w:color w:val="000000"/>
        </w:rPr>
        <w:t xml:space="preserve"> сингонии. Установлено, что ионы </w:t>
      </w:r>
      <w:proofErr w:type="gramStart"/>
      <w:r w:rsidR="001A6BF0">
        <w:rPr>
          <w:iCs/>
          <w:color w:val="000000"/>
        </w:rPr>
        <w:t>европия</w:t>
      </w:r>
      <w:r w:rsidRPr="00B36D45">
        <w:rPr>
          <w:iCs/>
          <w:color w:val="000000"/>
        </w:rPr>
        <w:t>(</w:t>
      </w:r>
      <w:proofErr w:type="gramEnd"/>
      <w:r w:rsidRPr="00B36D45">
        <w:rPr>
          <w:iCs/>
          <w:color w:val="000000"/>
          <w:lang w:val="en-US"/>
        </w:rPr>
        <w:t>III</w:t>
      </w:r>
      <w:r w:rsidRPr="00B36D45">
        <w:rPr>
          <w:iCs/>
          <w:color w:val="000000"/>
        </w:rPr>
        <w:t xml:space="preserve">) изоморфно замещают ионы </w:t>
      </w:r>
      <w:r w:rsidR="001A6BF0">
        <w:rPr>
          <w:iCs/>
          <w:color w:val="000000"/>
        </w:rPr>
        <w:t>гадолиния</w:t>
      </w:r>
      <w:r w:rsidRPr="00B36D45">
        <w:rPr>
          <w:iCs/>
          <w:color w:val="000000"/>
        </w:rPr>
        <w:t xml:space="preserve">, что приводит </w:t>
      </w:r>
      <w:r w:rsidR="00FD249C">
        <w:rPr>
          <w:iCs/>
          <w:color w:val="000000"/>
        </w:rPr>
        <w:t xml:space="preserve">к ожидаемому незначительному </w:t>
      </w:r>
      <w:r w:rsidRPr="00B36D45">
        <w:rPr>
          <w:color w:val="000000"/>
        </w:rPr>
        <w:t>увеличению параметров элементарной ячейки</w:t>
      </w:r>
      <w:r w:rsidRPr="00B36D45">
        <w:rPr>
          <w:iCs/>
          <w:color w:val="000000"/>
        </w:rPr>
        <w:t>.</w:t>
      </w:r>
      <w:r w:rsidR="00FD249C">
        <w:rPr>
          <w:color w:val="000000"/>
        </w:rPr>
        <w:t xml:space="preserve"> Спектр люминесценции для </w:t>
      </w:r>
      <w:r w:rsidR="0044504D">
        <w:rPr>
          <w:color w:val="000000"/>
        </w:rPr>
        <w:t>всех</w:t>
      </w:r>
      <w:r w:rsidR="00FD249C">
        <w:rPr>
          <w:color w:val="000000"/>
        </w:rPr>
        <w:t xml:space="preserve"> </w:t>
      </w:r>
      <w:r w:rsidR="0044504D">
        <w:rPr>
          <w:color w:val="000000"/>
        </w:rPr>
        <w:t>соединений</w:t>
      </w:r>
      <w:r w:rsidR="00FD249C">
        <w:rPr>
          <w:color w:val="000000"/>
        </w:rPr>
        <w:t xml:space="preserve"> имеет пики на длинах волн </w:t>
      </w:r>
      <w:r w:rsidR="00FD249C" w:rsidRPr="00145091">
        <w:rPr>
          <w:color w:val="000000"/>
        </w:rPr>
        <w:t>58</w:t>
      </w:r>
      <w:r w:rsidR="00FD249C">
        <w:rPr>
          <w:color w:val="000000"/>
        </w:rPr>
        <w:t>0</w:t>
      </w:r>
      <w:r w:rsidR="00FD249C" w:rsidRPr="00145091">
        <w:rPr>
          <w:color w:val="000000"/>
        </w:rPr>
        <w:t>–</w:t>
      </w:r>
      <w:r w:rsidR="00FD249C">
        <w:rPr>
          <w:color w:val="000000"/>
        </w:rPr>
        <w:t>590</w:t>
      </w:r>
      <w:r w:rsidR="00FD249C" w:rsidRPr="00145091">
        <w:rPr>
          <w:color w:val="000000"/>
        </w:rPr>
        <w:t xml:space="preserve"> нм</w:t>
      </w:r>
      <w:r w:rsidR="00FD249C">
        <w:rPr>
          <w:color w:val="000000"/>
        </w:rPr>
        <w:t xml:space="preserve">, </w:t>
      </w:r>
      <w:r w:rsidR="00FD249C" w:rsidRPr="00145091">
        <w:rPr>
          <w:color w:val="000000"/>
        </w:rPr>
        <w:t>610–6</w:t>
      </w:r>
      <w:r w:rsidR="00FD249C">
        <w:rPr>
          <w:color w:val="000000"/>
        </w:rPr>
        <w:t>30</w:t>
      </w:r>
      <w:r w:rsidR="00FD249C" w:rsidRPr="00145091">
        <w:rPr>
          <w:color w:val="000000"/>
        </w:rPr>
        <w:t xml:space="preserve"> нм</w:t>
      </w:r>
      <w:r w:rsidR="00FD249C">
        <w:rPr>
          <w:color w:val="000000"/>
        </w:rPr>
        <w:t xml:space="preserve">, </w:t>
      </w:r>
      <w:r w:rsidR="00FD249C" w:rsidRPr="00514A4F">
        <w:rPr>
          <w:color w:val="000000"/>
        </w:rPr>
        <w:t>640–6</w:t>
      </w:r>
      <w:r w:rsidR="00FD249C">
        <w:rPr>
          <w:color w:val="000000"/>
        </w:rPr>
        <w:t>5</w:t>
      </w:r>
      <w:r w:rsidR="00FD249C" w:rsidRPr="00514A4F">
        <w:rPr>
          <w:color w:val="000000"/>
        </w:rPr>
        <w:t>0 нм</w:t>
      </w:r>
      <w:r w:rsidR="00FD249C">
        <w:rPr>
          <w:color w:val="000000"/>
        </w:rPr>
        <w:t xml:space="preserve"> и </w:t>
      </w:r>
      <w:r w:rsidR="00FD249C" w:rsidRPr="00514A4F">
        <w:rPr>
          <w:color w:val="000000"/>
        </w:rPr>
        <w:t>680–710 нм</w:t>
      </w:r>
      <w:r w:rsidR="00FD249C">
        <w:rPr>
          <w:color w:val="000000"/>
        </w:rPr>
        <w:t xml:space="preserve"> что является типичным для </w:t>
      </w:r>
      <w:r w:rsidR="0044504D">
        <w:rPr>
          <w:color w:val="000000"/>
        </w:rPr>
        <w:t xml:space="preserve">иона </w:t>
      </w:r>
      <w:r w:rsidR="00FD249C">
        <w:rPr>
          <w:color w:val="000000"/>
          <w:lang w:val="en-US"/>
        </w:rPr>
        <w:t>Eu</w:t>
      </w:r>
      <w:r w:rsidR="00FD249C" w:rsidRPr="00145091">
        <w:rPr>
          <w:color w:val="000000"/>
          <w:vertAlign w:val="superscript"/>
        </w:rPr>
        <w:t xml:space="preserve">3+ </w:t>
      </w:r>
      <w:r w:rsidR="00FD249C">
        <w:rPr>
          <w:color w:val="000000"/>
        </w:rPr>
        <w:t xml:space="preserve">и соответствует переходам </w:t>
      </w:r>
      <w:r w:rsidR="00FD249C" w:rsidRPr="005F6EB0">
        <w:rPr>
          <w:vertAlign w:val="superscript"/>
        </w:rPr>
        <w:t>5</w:t>
      </w:r>
      <w:r w:rsidR="00FD249C">
        <w:rPr>
          <w:lang w:val="en-US"/>
        </w:rPr>
        <w:t>D</w:t>
      </w:r>
      <w:r w:rsidR="00FD249C" w:rsidRPr="005F6EB0">
        <w:rPr>
          <w:vertAlign w:val="subscript"/>
        </w:rPr>
        <w:t>0</w:t>
      </w:r>
      <w:r w:rsidR="00FD249C">
        <w:t>–</w:t>
      </w:r>
      <w:r w:rsidR="00FD249C" w:rsidRPr="005F6EB0">
        <w:rPr>
          <w:vertAlign w:val="superscript"/>
        </w:rPr>
        <w:t>7</w:t>
      </w:r>
      <w:r w:rsidR="00FD249C">
        <w:rPr>
          <w:lang w:val="en-US"/>
        </w:rPr>
        <w:t>F</w:t>
      </w:r>
      <w:r w:rsidR="00FD249C" w:rsidRPr="005F6EB0">
        <w:rPr>
          <w:vertAlign w:val="subscript"/>
        </w:rPr>
        <w:t>1</w:t>
      </w:r>
      <w:r w:rsidR="00FD249C">
        <w:rPr>
          <w:vertAlign w:val="subscript"/>
        </w:rPr>
        <w:t>,</w:t>
      </w:r>
      <w:r w:rsidR="00FD249C">
        <w:t xml:space="preserve"> </w:t>
      </w:r>
      <w:r w:rsidR="00FD249C" w:rsidRPr="005F6EB0">
        <w:rPr>
          <w:vertAlign w:val="superscript"/>
        </w:rPr>
        <w:t>5</w:t>
      </w:r>
      <w:r w:rsidR="00FD249C">
        <w:rPr>
          <w:lang w:val="en-US"/>
        </w:rPr>
        <w:t>D</w:t>
      </w:r>
      <w:r w:rsidR="00FD249C" w:rsidRPr="005F6EB0">
        <w:rPr>
          <w:vertAlign w:val="subscript"/>
        </w:rPr>
        <w:t>0</w:t>
      </w:r>
      <w:r w:rsidR="00FD249C">
        <w:t>–</w:t>
      </w:r>
      <w:r w:rsidR="00FD249C" w:rsidRPr="005F6EB0">
        <w:rPr>
          <w:vertAlign w:val="superscript"/>
        </w:rPr>
        <w:t>7</w:t>
      </w:r>
      <w:r w:rsidR="00FD249C">
        <w:rPr>
          <w:lang w:val="en-US"/>
        </w:rPr>
        <w:t>F</w:t>
      </w:r>
      <w:r w:rsidR="00FD249C">
        <w:rPr>
          <w:vertAlign w:val="subscript"/>
        </w:rPr>
        <w:t>2,</w:t>
      </w:r>
      <w:r w:rsidR="00FD249C" w:rsidRPr="00514A4F">
        <w:rPr>
          <w:vertAlign w:val="superscript"/>
        </w:rPr>
        <w:t xml:space="preserve"> </w:t>
      </w:r>
      <w:r w:rsidR="00FD249C" w:rsidRPr="005F6EB0">
        <w:rPr>
          <w:vertAlign w:val="superscript"/>
        </w:rPr>
        <w:t>5</w:t>
      </w:r>
      <w:r w:rsidR="00FD249C">
        <w:rPr>
          <w:lang w:val="en-US"/>
        </w:rPr>
        <w:t>D</w:t>
      </w:r>
      <w:r w:rsidR="00FD249C" w:rsidRPr="005F6EB0">
        <w:rPr>
          <w:vertAlign w:val="subscript"/>
        </w:rPr>
        <w:t>0</w:t>
      </w:r>
      <w:r w:rsidR="00FD249C">
        <w:t>–</w:t>
      </w:r>
      <w:r w:rsidR="00FD249C" w:rsidRPr="005F6EB0">
        <w:rPr>
          <w:vertAlign w:val="superscript"/>
        </w:rPr>
        <w:t>7</w:t>
      </w:r>
      <w:r w:rsidR="00FD249C">
        <w:rPr>
          <w:lang w:val="en-US"/>
        </w:rPr>
        <w:t>F</w:t>
      </w:r>
      <w:r w:rsidR="00FD249C">
        <w:rPr>
          <w:vertAlign w:val="subscript"/>
        </w:rPr>
        <w:t xml:space="preserve">3 </w:t>
      </w:r>
      <w:r w:rsidR="00FD249C">
        <w:t xml:space="preserve">и </w:t>
      </w:r>
      <w:r w:rsidR="00FD249C" w:rsidRPr="005F6EB0">
        <w:rPr>
          <w:vertAlign w:val="superscript"/>
        </w:rPr>
        <w:t>5</w:t>
      </w:r>
      <w:r w:rsidR="00FD249C">
        <w:rPr>
          <w:lang w:val="en-US"/>
        </w:rPr>
        <w:t>D</w:t>
      </w:r>
      <w:r w:rsidR="00FD249C" w:rsidRPr="005F6EB0">
        <w:rPr>
          <w:vertAlign w:val="subscript"/>
        </w:rPr>
        <w:t>0</w:t>
      </w:r>
      <w:r w:rsidR="00FD249C">
        <w:t>–</w:t>
      </w:r>
      <w:r w:rsidR="00FD249C" w:rsidRPr="005F6EB0">
        <w:rPr>
          <w:vertAlign w:val="superscript"/>
        </w:rPr>
        <w:t>7</w:t>
      </w:r>
      <w:r w:rsidR="00FD249C">
        <w:rPr>
          <w:lang w:val="en-US"/>
        </w:rPr>
        <w:t>F</w:t>
      </w:r>
      <w:r w:rsidR="00FD249C">
        <w:rPr>
          <w:vertAlign w:val="subscript"/>
        </w:rPr>
        <w:t xml:space="preserve">4 </w:t>
      </w:r>
      <w:r w:rsidR="00FD249C">
        <w:t xml:space="preserve">соответственно. При этом переход </w:t>
      </w:r>
      <w:r w:rsidR="00FD249C" w:rsidRPr="005F6EB0">
        <w:rPr>
          <w:vertAlign w:val="superscript"/>
        </w:rPr>
        <w:t>5</w:t>
      </w:r>
      <w:r w:rsidR="00FD249C">
        <w:rPr>
          <w:lang w:val="en-US"/>
        </w:rPr>
        <w:t>D</w:t>
      </w:r>
      <w:r w:rsidR="00FD249C" w:rsidRPr="005F6EB0">
        <w:rPr>
          <w:vertAlign w:val="subscript"/>
        </w:rPr>
        <w:t>0</w:t>
      </w:r>
      <w:r w:rsidR="00FD249C">
        <w:t>–</w:t>
      </w:r>
      <w:r w:rsidR="00FD249C" w:rsidRPr="005F6EB0">
        <w:rPr>
          <w:vertAlign w:val="superscript"/>
        </w:rPr>
        <w:t>7</w:t>
      </w:r>
      <w:r w:rsidR="00FD249C">
        <w:rPr>
          <w:lang w:val="en-US"/>
        </w:rPr>
        <w:t>F</w:t>
      </w:r>
      <w:r w:rsidR="00FD249C">
        <w:rPr>
          <w:vertAlign w:val="subscript"/>
        </w:rPr>
        <w:t>0</w:t>
      </w:r>
      <w:r w:rsidR="00FD249C">
        <w:t xml:space="preserve"> никак не выражен на спектре</w:t>
      </w:r>
      <w:r w:rsidR="0044504D">
        <w:rPr>
          <w:color w:val="000000"/>
        </w:rPr>
        <w:t xml:space="preserve">. </w:t>
      </w:r>
      <w:r w:rsidRPr="00B36D45">
        <w:rPr>
          <w:color w:val="000000"/>
        </w:rPr>
        <w:t xml:space="preserve">Максимальная интенсивность люминесценции наблюдается для соединения </w:t>
      </w:r>
      <w:r w:rsidR="001A6BF0">
        <w:rPr>
          <w:color w:val="000000"/>
        </w:rPr>
        <w:t xml:space="preserve">с содержанием ионов европия </w:t>
      </w:r>
      <w:r w:rsidR="00FD249C">
        <w:rPr>
          <w:color w:val="000000"/>
        </w:rPr>
        <w:t>3</w:t>
      </w:r>
      <w:r w:rsidR="001A6BF0">
        <w:rPr>
          <w:color w:val="000000"/>
        </w:rPr>
        <w:t>0</w:t>
      </w:r>
      <w:r w:rsidR="005D68C7">
        <w:rPr>
          <w:color w:val="000000"/>
        </w:rPr>
        <w:t> </w:t>
      </w:r>
      <w:proofErr w:type="spellStart"/>
      <w:r w:rsidR="001A6BF0">
        <w:rPr>
          <w:color w:val="000000"/>
        </w:rPr>
        <w:t>ат</w:t>
      </w:r>
      <w:proofErr w:type="spellEnd"/>
      <w:r w:rsidR="001A6BF0">
        <w:rPr>
          <w:color w:val="000000"/>
        </w:rPr>
        <w:t>.</w:t>
      </w:r>
      <w:r w:rsidR="005D68C7">
        <w:rPr>
          <w:color w:val="000000"/>
        </w:rPr>
        <w:t> </w:t>
      </w:r>
      <w:r w:rsidR="001A6BF0">
        <w:rPr>
          <w:color w:val="000000"/>
        </w:rPr>
        <w:t>%</w:t>
      </w:r>
      <w:r w:rsidR="0044504D">
        <w:rPr>
          <w:color w:val="000000"/>
        </w:rPr>
        <w:t xml:space="preserve">, для которого измеренный квантовый выход люминесценции составляет </w:t>
      </w:r>
      <w:r w:rsidR="003F44C6">
        <w:rPr>
          <w:color w:val="000000"/>
        </w:rPr>
        <w:t>7 %</w:t>
      </w:r>
      <w:r w:rsidR="00AD58B2" w:rsidRPr="00AD58B2">
        <w:rPr>
          <w:color w:val="000000"/>
        </w:rPr>
        <w:t xml:space="preserve">. </w:t>
      </w:r>
      <w:r w:rsidR="008C7436">
        <w:rPr>
          <w:color w:val="000000"/>
        </w:rPr>
        <w:t>Методом сканирующей электронной микроскопии установлено, что с</w:t>
      </w:r>
      <w:r w:rsidR="003F44C6">
        <w:rPr>
          <w:color w:val="000000"/>
        </w:rPr>
        <w:t xml:space="preserve">редний размер наночастиц </w:t>
      </w:r>
      <w:r w:rsidR="0044504D">
        <w:rPr>
          <w:color w:val="000000"/>
        </w:rPr>
        <w:t>твердых растворов находится в диапазоне</w:t>
      </w:r>
      <w:r w:rsidR="003F44C6">
        <w:rPr>
          <w:color w:val="000000"/>
        </w:rPr>
        <w:t xml:space="preserve"> </w:t>
      </w:r>
      <w:r w:rsidR="00FD249C">
        <w:rPr>
          <w:color w:val="000000"/>
        </w:rPr>
        <w:t>35</w:t>
      </w:r>
      <w:r w:rsidR="003F44C6">
        <w:rPr>
          <w:color w:val="000000"/>
        </w:rPr>
        <w:t xml:space="preserve"> </w:t>
      </w:r>
      <w:r w:rsidR="00FD249C">
        <w:rPr>
          <w:color w:val="000000"/>
        </w:rPr>
        <w:t xml:space="preserve">– </w:t>
      </w:r>
      <w:r w:rsidR="003F44C6">
        <w:rPr>
          <w:color w:val="000000"/>
        </w:rPr>
        <w:t>4</w:t>
      </w:r>
      <w:r w:rsidR="0044504D">
        <w:rPr>
          <w:color w:val="000000"/>
        </w:rPr>
        <w:t>5</w:t>
      </w:r>
      <w:r w:rsidR="003F44C6">
        <w:rPr>
          <w:color w:val="000000"/>
        </w:rPr>
        <w:t xml:space="preserve"> нм</w:t>
      </w:r>
      <w:r w:rsidR="00090A08">
        <w:rPr>
          <w:color w:val="000000"/>
        </w:rPr>
        <w:t>.</w:t>
      </w:r>
    </w:p>
    <w:p w:rsidR="00957C0D" w:rsidRPr="00776B9C" w:rsidRDefault="0044504D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Дополнительно проведено исследование ц</w:t>
      </w:r>
      <w:r w:rsidR="00776B9C" w:rsidRPr="00776B9C">
        <w:rPr>
          <w:color w:val="000000"/>
        </w:rPr>
        <w:t>итотоксичност</w:t>
      </w:r>
      <w:r>
        <w:rPr>
          <w:color w:val="000000"/>
        </w:rPr>
        <w:t>и</w:t>
      </w:r>
      <w:r w:rsidR="00776B9C" w:rsidRPr="00776B9C">
        <w:rPr>
          <w:color w:val="000000"/>
        </w:rPr>
        <w:t xml:space="preserve"> наночастиц по отношению к клеточной линии </w:t>
      </w:r>
      <w:r w:rsidR="00776B9C" w:rsidRPr="00776B9C">
        <w:rPr>
          <w:color w:val="000000"/>
          <w:lang w:val="en-US"/>
        </w:rPr>
        <w:t>HeLa</w:t>
      </w:r>
      <w:r w:rsidR="00776B9C" w:rsidRPr="00776B9C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="00776B9C" w:rsidRPr="00776B9C">
        <w:rPr>
          <w:color w:val="000000"/>
        </w:rPr>
        <w:t xml:space="preserve">диапазоне концентраций </w:t>
      </w:r>
      <w:r>
        <w:rPr>
          <w:color w:val="000000"/>
        </w:rPr>
        <w:t xml:space="preserve">12,5 – 1600 </w:t>
      </w:r>
      <w:proofErr w:type="spellStart"/>
      <w:r>
        <w:rPr>
          <w:color w:val="000000"/>
        </w:rPr>
        <w:t>мкмоль</w:t>
      </w:r>
      <w:proofErr w:type="spellEnd"/>
      <w:r w:rsidRPr="0044504D">
        <w:rPr>
          <w:color w:val="000000"/>
        </w:rPr>
        <w:t>/</w:t>
      </w:r>
      <w:r>
        <w:rPr>
          <w:color w:val="000000"/>
        </w:rPr>
        <w:t>л</w:t>
      </w:r>
      <w:r w:rsidR="00776B9C" w:rsidRPr="00776B9C">
        <w:rPr>
          <w:color w:val="000000"/>
        </w:rPr>
        <w:t xml:space="preserve">, </w:t>
      </w:r>
      <w:proofErr w:type="spellStart"/>
      <w:r w:rsidR="00776B9C" w:rsidRPr="00776B9C">
        <w:rPr>
          <w:color w:val="000000"/>
        </w:rPr>
        <w:t>суспензированных</w:t>
      </w:r>
      <w:proofErr w:type="spellEnd"/>
      <w:r w:rsidR="00776B9C" w:rsidRPr="00776B9C">
        <w:rPr>
          <w:color w:val="000000"/>
        </w:rPr>
        <w:t xml:space="preserve"> в культуральной среде при времени инкубации </w:t>
      </w:r>
      <w:r>
        <w:rPr>
          <w:color w:val="000000"/>
        </w:rPr>
        <w:t>24</w:t>
      </w:r>
      <w:r w:rsidR="00776B9C" w:rsidRPr="00776B9C">
        <w:rPr>
          <w:color w:val="000000"/>
        </w:rPr>
        <w:t xml:space="preserve"> часа.  </w:t>
      </w:r>
      <w:r>
        <w:rPr>
          <w:color w:val="000000"/>
        </w:rPr>
        <w:t>Выживаемость клеток составила не менее 90</w:t>
      </w:r>
      <w:r w:rsidR="00C14C34">
        <w:rPr>
          <w:color w:val="000000"/>
        </w:rPr>
        <w:t xml:space="preserve"> </w:t>
      </w:r>
      <w:r>
        <w:rPr>
          <w:color w:val="000000"/>
        </w:rPr>
        <w:t>%</w:t>
      </w:r>
      <w:r w:rsidR="00776B9C" w:rsidRPr="00776B9C">
        <w:rPr>
          <w:color w:val="000000"/>
        </w:rPr>
        <w:t>, что свидетельствует о низкой токсичности наночастиц</w:t>
      </w:r>
      <w:r>
        <w:rPr>
          <w:color w:val="000000"/>
        </w:rPr>
        <w:t xml:space="preserve"> и позволяет их</w:t>
      </w:r>
      <w:r w:rsidR="00776B9C" w:rsidRPr="00776B9C">
        <w:rPr>
          <w:color w:val="000000"/>
        </w:rPr>
        <w:t xml:space="preserve"> использ</w:t>
      </w:r>
      <w:r>
        <w:rPr>
          <w:color w:val="000000"/>
        </w:rPr>
        <w:t>овать</w:t>
      </w:r>
      <w:r w:rsidR="00776B9C" w:rsidRPr="00776B9C">
        <w:rPr>
          <w:color w:val="000000"/>
        </w:rPr>
        <w:t xml:space="preserve"> для целей </w:t>
      </w:r>
      <w:proofErr w:type="spellStart"/>
      <w:r w:rsidR="00776B9C" w:rsidRPr="00776B9C">
        <w:rPr>
          <w:color w:val="000000"/>
        </w:rPr>
        <w:t>биовизуализации</w:t>
      </w:r>
      <w:proofErr w:type="spellEnd"/>
      <w:r>
        <w:rPr>
          <w:color w:val="000000"/>
        </w:rPr>
        <w:t>.</w:t>
      </w:r>
    </w:p>
    <w:p w:rsidR="00957C0D" w:rsidRPr="005D68C7" w:rsidRDefault="00957C0D" w:rsidP="005D68C7">
      <w:pPr>
        <w:ind w:firstLine="397"/>
        <w:jc w:val="both"/>
        <w:rPr>
          <w:i/>
          <w:iCs/>
        </w:rPr>
      </w:pPr>
      <w:r w:rsidRPr="00C14C34">
        <w:rPr>
          <w:i/>
          <w:iCs/>
          <w:color w:val="000000"/>
        </w:rPr>
        <w:t xml:space="preserve">Работа выполнена при поддержке гранта Российского научного фонда </w:t>
      </w:r>
      <w:r w:rsidRPr="00C14C34">
        <w:rPr>
          <w:i/>
          <w:iCs/>
        </w:rPr>
        <w:t>№ 24-73-00034 (</w:t>
      </w:r>
      <w:hyperlink r:id="rId7" w:history="1">
        <w:r w:rsidRPr="00C14C34">
          <w:rPr>
            <w:rStyle w:val="ac"/>
            <w:i/>
            <w:iCs/>
            <w:lang w:val="en-US"/>
          </w:rPr>
          <w:t>https</w:t>
        </w:r>
        <w:r w:rsidRPr="00C14C34">
          <w:rPr>
            <w:rStyle w:val="ac"/>
            <w:i/>
            <w:iCs/>
          </w:rPr>
          <w:t>://</w:t>
        </w:r>
        <w:proofErr w:type="spellStart"/>
        <w:r w:rsidRPr="00C14C34">
          <w:rPr>
            <w:rStyle w:val="ac"/>
            <w:i/>
            <w:iCs/>
            <w:lang w:val="en-US"/>
          </w:rPr>
          <w:t>rscf</w:t>
        </w:r>
        <w:proofErr w:type="spellEnd"/>
        <w:r w:rsidRPr="00C14C34">
          <w:rPr>
            <w:rStyle w:val="ac"/>
            <w:i/>
            <w:iCs/>
          </w:rPr>
          <w:t>.</w:t>
        </w:r>
        <w:proofErr w:type="spellStart"/>
        <w:r w:rsidRPr="00C14C34">
          <w:rPr>
            <w:rStyle w:val="ac"/>
            <w:i/>
            <w:iCs/>
            <w:lang w:val="en-US"/>
          </w:rPr>
          <w:t>ru</w:t>
        </w:r>
        <w:proofErr w:type="spellEnd"/>
        <w:r w:rsidRPr="00C14C34">
          <w:rPr>
            <w:rStyle w:val="ac"/>
            <w:i/>
            <w:iCs/>
          </w:rPr>
          <w:t>/</w:t>
        </w:r>
        <w:r w:rsidRPr="00C14C34">
          <w:rPr>
            <w:rStyle w:val="ac"/>
            <w:i/>
            <w:iCs/>
            <w:lang w:val="en-US"/>
          </w:rPr>
          <w:t>project</w:t>
        </w:r>
        <w:r w:rsidRPr="00C14C34">
          <w:rPr>
            <w:rStyle w:val="ac"/>
            <w:i/>
            <w:iCs/>
          </w:rPr>
          <w:t>/24-7</w:t>
        </w:r>
        <w:r w:rsidRPr="00C14C34">
          <w:rPr>
            <w:rStyle w:val="ac"/>
            <w:i/>
            <w:iCs/>
          </w:rPr>
          <w:t>3</w:t>
        </w:r>
        <w:r w:rsidRPr="00C14C34">
          <w:rPr>
            <w:rStyle w:val="ac"/>
            <w:i/>
            <w:iCs/>
          </w:rPr>
          <w:t>-00034/</w:t>
        </w:r>
      </w:hyperlink>
      <w:r w:rsidRPr="00C14C34">
        <w:rPr>
          <w:i/>
          <w:iCs/>
        </w:rPr>
        <w:t>). Исследования проведены с использованием оборудования ресурсных центров Научного парка СПбГУ «Нанотехнологии», «Оптические и лазерные методы исследования вещества», «</w:t>
      </w:r>
      <w:proofErr w:type="spellStart"/>
      <w:r w:rsidRPr="00C14C34">
        <w:rPr>
          <w:i/>
          <w:iCs/>
        </w:rPr>
        <w:t>Рентгенодифракционные</w:t>
      </w:r>
      <w:proofErr w:type="spellEnd"/>
      <w:r w:rsidRPr="00C14C34">
        <w:rPr>
          <w:i/>
          <w:iCs/>
        </w:rPr>
        <w:t xml:space="preserve"> методы исследования».</w:t>
      </w:r>
      <w:r w:rsidR="007708FF">
        <w:rPr>
          <w:i/>
          <w:iCs/>
        </w:rPr>
        <w:t xml:space="preserve"> </w:t>
      </w:r>
      <w:r w:rsidR="007708FF" w:rsidRPr="007708FF">
        <w:rPr>
          <w:i/>
          <w:iCs/>
        </w:rPr>
        <w:t>Автор благодарит научного руководителя работы доцента СПбГУ, к.х.н., Богачева Никиту Александровича за помощь в осуществлении исследований</w:t>
      </w:r>
      <w:r w:rsidR="008C2232">
        <w:rPr>
          <w:i/>
          <w:iCs/>
        </w:rPr>
        <w:t>.</w:t>
      </w:r>
    </w:p>
    <w:p w:rsidR="00A07A8F" w:rsidRPr="00D93338" w:rsidRDefault="00A07A8F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A07A8F" w:rsidRPr="00DB2F6B" w:rsidRDefault="00A07A8F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93338">
        <w:rPr>
          <w:color w:val="000000"/>
        </w:rPr>
        <w:t xml:space="preserve">1. </w:t>
      </w:r>
      <w:r w:rsidR="00DB2F6B" w:rsidRPr="00A07A8F">
        <w:rPr>
          <w:color w:val="000000"/>
          <w:lang w:val="en-US"/>
        </w:rPr>
        <w:t>Liu</w:t>
      </w:r>
      <w:r w:rsidR="00DB2F6B" w:rsidRPr="00D93338">
        <w:rPr>
          <w:color w:val="000000"/>
        </w:rPr>
        <w:t xml:space="preserve"> </w:t>
      </w:r>
      <w:r w:rsidR="00DB2F6B">
        <w:rPr>
          <w:color w:val="000000"/>
          <w:lang w:val="en-US"/>
        </w:rPr>
        <w:t>Q</w:t>
      </w:r>
      <w:r w:rsidR="00DB2F6B" w:rsidRPr="00D93338">
        <w:rPr>
          <w:color w:val="000000"/>
        </w:rPr>
        <w:t>.</w:t>
      </w:r>
      <w:r w:rsidR="00D119A0" w:rsidRPr="00957C0D">
        <w:rPr>
          <w:color w:val="000000"/>
        </w:rPr>
        <w:t xml:space="preserve"> </w:t>
      </w:r>
      <w:r w:rsidR="00DB2F6B">
        <w:rPr>
          <w:color w:val="000000"/>
          <w:lang w:val="en-US"/>
        </w:rPr>
        <w:t>et</w:t>
      </w:r>
      <w:r w:rsidR="00DB2F6B" w:rsidRPr="00D93338">
        <w:rPr>
          <w:color w:val="000000"/>
        </w:rPr>
        <w:t xml:space="preserve"> </w:t>
      </w:r>
      <w:r w:rsidR="00DB2F6B">
        <w:rPr>
          <w:color w:val="000000"/>
          <w:lang w:val="en-US"/>
        </w:rPr>
        <w:t>al</w:t>
      </w:r>
      <w:r w:rsidR="00DB2F6B" w:rsidRPr="00D93338">
        <w:rPr>
          <w:color w:val="000000"/>
        </w:rPr>
        <w:t xml:space="preserve">. </w:t>
      </w:r>
      <w:r w:rsidRPr="00A07A8F">
        <w:rPr>
          <w:color w:val="000000"/>
          <w:lang w:val="en-US"/>
        </w:rPr>
        <w:t xml:space="preserve">Sub-10 nm Hexagonal Lanthanide-Doped NaLuF4 </w:t>
      </w:r>
      <w:proofErr w:type="spellStart"/>
      <w:r w:rsidRPr="00A07A8F">
        <w:rPr>
          <w:color w:val="000000"/>
          <w:lang w:val="en-US"/>
        </w:rPr>
        <w:t>upconversion</w:t>
      </w:r>
      <w:proofErr w:type="spellEnd"/>
      <w:r w:rsidRPr="00A07A8F">
        <w:rPr>
          <w:color w:val="000000"/>
          <w:lang w:val="en-US"/>
        </w:rPr>
        <w:t xml:space="preserve"> Nanocrystals for Sensitive Bioimaging in Vivo // Journal of the American Chemical Society. </w:t>
      </w:r>
      <w:r w:rsidR="00AB7B52" w:rsidRPr="00A07A8F">
        <w:rPr>
          <w:color w:val="000000"/>
          <w:lang w:val="en-US"/>
        </w:rPr>
        <w:t>2011</w:t>
      </w:r>
      <w:r w:rsidR="00AB7B52" w:rsidRPr="00AB7B52">
        <w:rPr>
          <w:color w:val="000000"/>
          <w:lang w:val="en-US"/>
        </w:rPr>
        <w:t xml:space="preserve">. </w:t>
      </w:r>
      <w:r w:rsidR="00AB7B52">
        <w:rPr>
          <w:color w:val="000000"/>
          <w:lang w:val="en-US"/>
        </w:rPr>
        <w:t>№ 133 (43)</w:t>
      </w:r>
      <w:r w:rsidR="00AB7B52" w:rsidRPr="00AB7B52">
        <w:rPr>
          <w:color w:val="000000"/>
          <w:lang w:val="en-US"/>
        </w:rPr>
        <w:t xml:space="preserve">. </w:t>
      </w:r>
      <w:r w:rsidRPr="00A07A8F">
        <w:rPr>
          <w:color w:val="000000"/>
          <w:lang w:val="en-US"/>
        </w:rPr>
        <w:t>P. 17122</w:t>
      </w:r>
      <w:r w:rsidR="00AB7B52">
        <w:rPr>
          <w:color w:val="000000"/>
          <w:lang w:val="en-US"/>
        </w:rPr>
        <w:t>-</w:t>
      </w:r>
      <w:r w:rsidRPr="00A07A8F">
        <w:rPr>
          <w:color w:val="000000"/>
          <w:lang w:val="en-US"/>
        </w:rPr>
        <w:t>17125. DOI:10.1021/</w:t>
      </w:r>
      <w:r w:rsidR="00AB7B52">
        <w:rPr>
          <w:color w:val="000000"/>
          <w:lang w:val="en-US"/>
        </w:rPr>
        <w:t>ja207078s</w:t>
      </w:r>
    </w:p>
    <w:p w:rsidR="00A07A8F" w:rsidRPr="00A07A8F" w:rsidRDefault="00A07A8F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7A8F">
        <w:rPr>
          <w:color w:val="000000"/>
          <w:lang w:val="en-US"/>
        </w:rPr>
        <w:t>2. I</w:t>
      </w:r>
      <w:r w:rsidR="00DB2F6B">
        <w:rPr>
          <w:color w:val="000000"/>
          <w:lang w:val="en-US"/>
        </w:rPr>
        <w:t>vaturi</w:t>
      </w:r>
      <w:r w:rsidRPr="00A07A8F">
        <w:rPr>
          <w:color w:val="000000"/>
          <w:lang w:val="en-US"/>
        </w:rPr>
        <w:t xml:space="preserve"> A</w:t>
      </w:r>
      <w:r w:rsidR="00DB2F6B">
        <w:rPr>
          <w:color w:val="000000"/>
          <w:lang w:val="en-US"/>
        </w:rPr>
        <w:t>.</w:t>
      </w:r>
      <w:r w:rsidRPr="00A07A8F">
        <w:rPr>
          <w:color w:val="000000"/>
          <w:lang w:val="en-US"/>
        </w:rPr>
        <w:t xml:space="preserve"> </w:t>
      </w:r>
      <w:r w:rsidR="009E1FB7">
        <w:rPr>
          <w:color w:val="000000"/>
          <w:lang w:val="en-US"/>
        </w:rPr>
        <w:t xml:space="preserve">et al. </w:t>
      </w:r>
      <w:r w:rsidRPr="00A07A8F">
        <w:rPr>
          <w:color w:val="000000"/>
          <w:lang w:val="en-US"/>
        </w:rPr>
        <w:t xml:space="preserve">Optimizing infrared to near infrared </w:t>
      </w:r>
      <w:proofErr w:type="spellStart"/>
      <w:r w:rsidRPr="00A07A8F">
        <w:rPr>
          <w:color w:val="000000"/>
          <w:lang w:val="en-US"/>
        </w:rPr>
        <w:t>upconversion</w:t>
      </w:r>
      <w:proofErr w:type="spellEnd"/>
      <w:r w:rsidRPr="00A07A8F">
        <w:rPr>
          <w:color w:val="000000"/>
          <w:lang w:val="en-US"/>
        </w:rPr>
        <w:t xml:space="preserve"> quantum yield of </w:t>
      </w:r>
      <w:r w:rsidRPr="00A07A8F">
        <w:rPr>
          <w:color w:val="000000"/>
        </w:rPr>
        <w:t>β</w:t>
      </w:r>
      <w:r w:rsidRPr="00A07A8F">
        <w:rPr>
          <w:color w:val="000000"/>
          <w:lang w:val="en-US"/>
        </w:rPr>
        <w:t>-NaYF4:Er3+ in fluoropolymer matrix for photovoltaic devices</w:t>
      </w:r>
      <w:r w:rsidR="00AB7B52">
        <w:rPr>
          <w:color w:val="000000"/>
          <w:lang w:val="en-US"/>
        </w:rPr>
        <w:t xml:space="preserve"> </w:t>
      </w:r>
      <w:r w:rsidR="00AB7B52" w:rsidRPr="00AB7B52">
        <w:rPr>
          <w:color w:val="000000"/>
          <w:lang w:val="en-US"/>
        </w:rPr>
        <w:t>//</w:t>
      </w:r>
      <w:r w:rsidRPr="00A07A8F">
        <w:rPr>
          <w:color w:val="000000"/>
          <w:lang w:val="en-US"/>
        </w:rPr>
        <w:t xml:space="preserve"> Journal of Applied Physics</w:t>
      </w:r>
      <w:r w:rsidR="00AB7B52" w:rsidRPr="00AB7B52">
        <w:rPr>
          <w:color w:val="000000"/>
          <w:lang w:val="en-US"/>
        </w:rPr>
        <w:t xml:space="preserve">. </w:t>
      </w:r>
      <w:r w:rsidR="00AB7B52" w:rsidRPr="00A07A8F">
        <w:rPr>
          <w:color w:val="000000"/>
          <w:lang w:val="en-US"/>
        </w:rPr>
        <w:t>2013</w:t>
      </w:r>
      <w:r w:rsidR="00AB7B52" w:rsidRPr="00AB7B52">
        <w:rPr>
          <w:color w:val="000000"/>
          <w:lang w:val="en-US"/>
        </w:rPr>
        <w:t>. №</w:t>
      </w:r>
      <w:r w:rsidRPr="00A07A8F">
        <w:rPr>
          <w:color w:val="000000"/>
          <w:lang w:val="en-US"/>
        </w:rPr>
        <w:t xml:space="preserve"> 114</w:t>
      </w:r>
      <w:r w:rsidR="00DB2F6B">
        <w:rPr>
          <w:color w:val="000000"/>
          <w:lang w:val="en-US"/>
        </w:rPr>
        <w:t xml:space="preserve">, </w:t>
      </w:r>
      <w:r w:rsidR="00DB2F6B" w:rsidRPr="00DB2F6B">
        <w:rPr>
          <w:color w:val="000000"/>
          <w:lang w:val="en-US"/>
        </w:rPr>
        <w:t>013505</w:t>
      </w:r>
      <w:r w:rsidR="00DB2F6B">
        <w:rPr>
          <w:color w:val="000000"/>
          <w:lang w:val="en-US"/>
        </w:rPr>
        <w:t>.</w:t>
      </w:r>
      <w:r w:rsidR="00DB2F6B" w:rsidRPr="00DB2F6B">
        <w:rPr>
          <w:color w:val="000000"/>
          <w:lang w:val="en-US"/>
        </w:rPr>
        <w:t xml:space="preserve"> DOI:10.1063/1.4812578</w:t>
      </w:r>
    </w:p>
    <w:p w:rsidR="00A07A8F" w:rsidRPr="007708FF" w:rsidRDefault="00A07A8F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B2F6B">
        <w:rPr>
          <w:color w:val="000000"/>
          <w:lang w:val="en-US"/>
        </w:rPr>
        <w:t>3. Polman A</w:t>
      </w:r>
      <w:r w:rsidR="00AB7B52" w:rsidRPr="00DB2F6B">
        <w:rPr>
          <w:color w:val="000000"/>
          <w:lang w:val="en-US"/>
        </w:rPr>
        <w:t>.</w:t>
      </w:r>
      <w:r w:rsidRPr="00DB2F6B">
        <w:rPr>
          <w:color w:val="000000"/>
          <w:lang w:val="en-US"/>
        </w:rPr>
        <w:t xml:space="preserve">, van </w:t>
      </w:r>
      <w:proofErr w:type="spellStart"/>
      <w:r w:rsidRPr="00DB2F6B">
        <w:rPr>
          <w:color w:val="000000"/>
          <w:lang w:val="en-US"/>
        </w:rPr>
        <w:t>Veggel</w:t>
      </w:r>
      <w:proofErr w:type="spellEnd"/>
      <w:r w:rsidR="00DB2F6B" w:rsidRPr="00DB2F6B">
        <w:rPr>
          <w:color w:val="000000"/>
          <w:lang w:val="en-US"/>
        </w:rPr>
        <w:t xml:space="preserve"> F.C.J.M</w:t>
      </w:r>
      <w:r w:rsidRPr="00DB2F6B">
        <w:rPr>
          <w:color w:val="000000"/>
          <w:lang w:val="en-US"/>
        </w:rPr>
        <w:t xml:space="preserve">. </w:t>
      </w:r>
      <w:r w:rsidRPr="00A07A8F">
        <w:rPr>
          <w:color w:val="000000"/>
          <w:lang w:val="en-US"/>
        </w:rPr>
        <w:t>Broadband sensitizers for erbium-doped planar optical amplifiers: review</w:t>
      </w:r>
      <w:r w:rsidR="00DB2F6B" w:rsidRPr="00DB2F6B">
        <w:rPr>
          <w:color w:val="000000"/>
          <w:lang w:val="en-US"/>
        </w:rPr>
        <w:t xml:space="preserve"> // Journal of the Optical Society of America B. 2004. Vol. 21.</w:t>
      </w:r>
      <w:r w:rsidR="00DB2F6B">
        <w:rPr>
          <w:color w:val="000000"/>
          <w:lang w:val="en-US"/>
        </w:rPr>
        <w:t xml:space="preserve"> Issue 5.</w:t>
      </w:r>
      <w:r w:rsidR="00DB2F6B" w:rsidRPr="00DB2F6B">
        <w:rPr>
          <w:color w:val="000000"/>
          <w:lang w:val="en-US"/>
        </w:rPr>
        <w:t xml:space="preserve"> </w:t>
      </w:r>
      <w:r w:rsidR="00DB2F6B">
        <w:rPr>
          <w:color w:val="000000"/>
          <w:lang w:val="en-US"/>
        </w:rPr>
        <w:t xml:space="preserve">P. 871-892. DOI: </w:t>
      </w:r>
      <w:r w:rsidR="00DB2F6B" w:rsidRPr="00DB2F6B">
        <w:rPr>
          <w:color w:val="000000"/>
          <w:lang w:val="en-US"/>
        </w:rPr>
        <w:t xml:space="preserve">10.1364/JOSAB.21.000871 </w:t>
      </w:r>
    </w:p>
    <w:p w:rsidR="00A07A8F" w:rsidRPr="00A07A8F" w:rsidRDefault="00A07A8F" w:rsidP="005D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7A8F">
        <w:rPr>
          <w:color w:val="000000"/>
          <w:lang w:val="en-US"/>
        </w:rPr>
        <w:t>4. B</w:t>
      </w:r>
      <w:proofErr w:type="spellStart"/>
      <w:r w:rsidRPr="00A07A8F">
        <w:rPr>
          <w:color w:val="000000"/>
          <w:lang w:val="en-US"/>
        </w:rPr>
        <w:t>innemans</w:t>
      </w:r>
      <w:proofErr w:type="spellEnd"/>
      <w:r w:rsidRPr="00A07A8F">
        <w:rPr>
          <w:color w:val="000000"/>
          <w:lang w:val="en-US"/>
        </w:rPr>
        <w:t xml:space="preserve"> K. Interpretation of europium (III) spectra // Coordination Chemistry Reviews</w:t>
      </w:r>
      <w:r w:rsidR="009E1FB7">
        <w:rPr>
          <w:color w:val="000000"/>
          <w:lang w:val="en-US"/>
        </w:rPr>
        <w:t>.</w:t>
      </w:r>
      <w:r w:rsidRPr="00A07A8F">
        <w:rPr>
          <w:color w:val="000000"/>
          <w:lang w:val="en-US"/>
        </w:rPr>
        <w:t xml:space="preserve"> 2015. </w:t>
      </w:r>
      <w:r w:rsidR="009E1FB7" w:rsidRPr="009E1FB7">
        <w:rPr>
          <w:color w:val="000000"/>
          <w:lang w:val="en-US"/>
        </w:rPr>
        <w:t>Vol</w:t>
      </w:r>
      <w:r w:rsidR="009E1FB7">
        <w:rPr>
          <w:color w:val="000000"/>
          <w:lang w:val="en-US"/>
        </w:rPr>
        <w:t>.</w:t>
      </w:r>
      <w:r w:rsidR="009E1FB7" w:rsidRPr="009E1FB7">
        <w:rPr>
          <w:color w:val="000000"/>
          <w:lang w:val="en-US"/>
        </w:rPr>
        <w:t xml:space="preserve"> 295</w:t>
      </w:r>
      <w:r w:rsidR="009E1FB7">
        <w:rPr>
          <w:color w:val="000000"/>
          <w:lang w:val="en-US"/>
        </w:rPr>
        <w:t>.</w:t>
      </w:r>
      <w:r w:rsidR="009E1FB7" w:rsidRPr="009E1FB7">
        <w:rPr>
          <w:color w:val="000000"/>
          <w:lang w:val="en-US"/>
        </w:rPr>
        <w:t xml:space="preserve"> P</w:t>
      </w:r>
      <w:r w:rsidR="009E1FB7">
        <w:rPr>
          <w:color w:val="000000"/>
          <w:lang w:val="en-US"/>
        </w:rPr>
        <w:t>.</w:t>
      </w:r>
      <w:r w:rsidR="009E1FB7" w:rsidRPr="009E1FB7">
        <w:rPr>
          <w:color w:val="000000"/>
          <w:lang w:val="en-US"/>
        </w:rPr>
        <w:t xml:space="preserve"> 1-45</w:t>
      </w:r>
      <w:r w:rsidR="009E1FB7">
        <w:rPr>
          <w:color w:val="000000"/>
          <w:lang w:val="en-US"/>
        </w:rPr>
        <w:t xml:space="preserve">. </w:t>
      </w:r>
      <w:r w:rsidRPr="00DB2F6B">
        <w:rPr>
          <w:color w:val="000000"/>
          <w:lang w:val="en-US"/>
        </w:rPr>
        <w:t>DOI: 10.1016/j.ccr.2015.02.015</w:t>
      </w:r>
    </w:p>
    <w:sectPr w:rsidR="00A07A8F" w:rsidRPr="00A07A8F" w:rsidSect="00C14C3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66DCD"/>
    <w:multiLevelType w:val="multilevel"/>
    <w:tmpl w:val="259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3A"/>
    <w:rsid w:val="0003071C"/>
    <w:rsid w:val="00090A08"/>
    <w:rsid w:val="000F7689"/>
    <w:rsid w:val="00116127"/>
    <w:rsid w:val="00130F6D"/>
    <w:rsid w:val="001362D6"/>
    <w:rsid w:val="00145091"/>
    <w:rsid w:val="001A202B"/>
    <w:rsid w:val="001A4B0D"/>
    <w:rsid w:val="001A6BF0"/>
    <w:rsid w:val="001B5245"/>
    <w:rsid w:val="001D106A"/>
    <w:rsid w:val="001D1F34"/>
    <w:rsid w:val="001D4DCF"/>
    <w:rsid w:val="00215CA0"/>
    <w:rsid w:val="003004A2"/>
    <w:rsid w:val="00326F49"/>
    <w:rsid w:val="00333058"/>
    <w:rsid w:val="00376E54"/>
    <w:rsid w:val="003E4FAC"/>
    <w:rsid w:val="003F44C6"/>
    <w:rsid w:val="0044504D"/>
    <w:rsid w:val="0047148B"/>
    <w:rsid w:val="00514A4F"/>
    <w:rsid w:val="0052710E"/>
    <w:rsid w:val="005329AE"/>
    <w:rsid w:val="005A59AE"/>
    <w:rsid w:val="005D68C7"/>
    <w:rsid w:val="00604BA3"/>
    <w:rsid w:val="00627F5E"/>
    <w:rsid w:val="0063070E"/>
    <w:rsid w:val="00674DAA"/>
    <w:rsid w:val="00692F47"/>
    <w:rsid w:val="006C033C"/>
    <w:rsid w:val="00714BCE"/>
    <w:rsid w:val="007708FF"/>
    <w:rsid w:val="007726BD"/>
    <w:rsid w:val="00776B9C"/>
    <w:rsid w:val="00806BD9"/>
    <w:rsid w:val="00872161"/>
    <w:rsid w:val="0089368C"/>
    <w:rsid w:val="008C2232"/>
    <w:rsid w:val="008C36B0"/>
    <w:rsid w:val="008C7436"/>
    <w:rsid w:val="008D0768"/>
    <w:rsid w:val="00957C0D"/>
    <w:rsid w:val="0099761A"/>
    <w:rsid w:val="009D03CA"/>
    <w:rsid w:val="009E1FB7"/>
    <w:rsid w:val="00A07A8F"/>
    <w:rsid w:val="00A65203"/>
    <w:rsid w:val="00A73C0D"/>
    <w:rsid w:val="00AB7B52"/>
    <w:rsid w:val="00AC1ADA"/>
    <w:rsid w:val="00AD58B2"/>
    <w:rsid w:val="00B218F2"/>
    <w:rsid w:val="00B36B09"/>
    <w:rsid w:val="00B36D45"/>
    <w:rsid w:val="00BC0842"/>
    <w:rsid w:val="00C14C34"/>
    <w:rsid w:val="00C230A8"/>
    <w:rsid w:val="00C83031"/>
    <w:rsid w:val="00CA279C"/>
    <w:rsid w:val="00CA5F59"/>
    <w:rsid w:val="00CB653A"/>
    <w:rsid w:val="00D119A0"/>
    <w:rsid w:val="00D477C5"/>
    <w:rsid w:val="00D52F25"/>
    <w:rsid w:val="00D62984"/>
    <w:rsid w:val="00D93338"/>
    <w:rsid w:val="00DB2F6B"/>
    <w:rsid w:val="00E02FC8"/>
    <w:rsid w:val="00E517A1"/>
    <w:rsid w:val="00EB4661"/>
    <w:rsid w:val="00EE2D3A"/>
    <w:rsid w:val="00F06F81"/>
    <w:rsid w:val="00F829A5"/>
    <w:rsid w:val="00FD249C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A535"/>
  <w15:docId w15:val="{DB725B7D-1339-4760-A9B0-86F43E9C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D3A"/>
    <w:pPr>
      <w:keepNext/>
      <w:keepLines/>
      <w:spacing w:before="360" w:after="80" w:line="278" w:lineRule="auto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3A"/>
    <w:pPr>
      <w:keepNext/>
      <w:keepLines/>
      <w:spacing w:before="160" w:after="80" w:line="278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D3A"/>
    <w:pPr>
      <w:keepNext/>
      <w:keepLines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3A"/>
    <w:pPr>
      <w:keepNext/>
      <w:keepLines/>
      <w:spacing w:before="80" w:after="40" w:line="278" w:lineRule="auto"/>
      <w:outlineLvl w:val="3"/>
    </w:pPr>
    <w:rPr>
      <w:rFonts w:ascii="Aptos" w:hAnsi="Aptos"/>
      <w:i/>
      <w:iCs/>
      <w:color w:val="0F4761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D3A"/>
    <w:pPr>
      <w:keepNext/>
      <w:keepLines/>
      <w:spacing w:before="80" w:after="40" w:line="278" w:lineRule="auto"/>
      <w:outlineLvl w:val="4"/>
    </w:pPr>
    <w:rPr>
      <w:rFonts w:ascii="Aptos" w:hAnsi="Aptos"/>
      <w:color w:val="0F4761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D3A"/>
    <w:pPr>
      <w:keepNext/>
      <w:keepLines/>
      <w:spacing w:before="40" w:line="278" w:lineRule="auto"/>
      <w:outlineLvl w:val="5"/>
    </w:pPr>
    <w:rPr>
      <w:rFonts w:ascii="Aptos" w:hAnsi="Aptos"/>
      <w:i/>
      <w:iCs/>
      <w:color w:val="595959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3A"/>
    <w:pPr>
      <w:keepNext/>
      <w:keepLines/>
      <w:spacing w:before="40" w:line="278" w:lineRule="auto"/>
      <w:outlineLvl w:val="6"/>
    </w:pPr>
    <w:rPr>
      <w:rFonts w:ascii="Aptos" w:hAnsi="Aptos"/>
      <w:color w:val="595959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D3A"/>
    <w:pPr>
      <w:keepNext/>
      <w:keepLines/>
      <w:spacing w:line="278" w:lineRule="auto"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D3A"/>
    <w:pPr>
      <w:keepNext/>
      <w:keepLines/>
      <w:spacing w:line="278" w:lineRule="auto"/>
      <w:outlineLvl w:val="8"/>
    </w:pPr>
    <w:rPr>
      <w:rFonts w:ascii="Aptos" w:hAnsi="Aptos"/>
      <w:color w:val="272727"/>
      <w:kern w:val="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2D3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EE2D3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EE2D3A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EE2D3A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EE2D3A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EE2D3A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EE2D3A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EE2D3A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EE2D3A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EE2D3A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EE2D3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D3A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EE2D3A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D3A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22">
    <w:name w:val="Цитата 2 Знак"/>
    <w:link w:val="21"/>
    <w:uiPriority w:val="29"/>
    <w:rsid w:val="00EE2D3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EE2D3A"/>
    <w:pPr>
      <w:spacing w:after="160" w:line="278" w:lineRule="auto"/>
      <w:ind w:left="720"/>
      <w:contextualSpacing/>
    </w:pPr>
    <w:rPr>
      <w:rFonts w:ascii="Aptos" w:eastAsia="Aptos" w:hAnsi="Aptos"/>
      <w:kern w:val="2"/>
      <w:lang w:eastAsia="en-US"/>
    </w:rPr>
  </w:style>
  <w:style w:type="character" w:styleId="a8">
    <w:name w:val="Intense Emphasis"/>
    <w:uiPriority w:val="21"/>
    <w:qFormat/>
    <w:rsid w:val="00EE2D3A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EE2D3A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aa">
    <w:name w:val="Выделенная цитата Знак"/>
    <w:link w:val="a9"/>
    <w:uiPriority w:val="30"/>
    <w:rsid w:val="00EE2D3A"/>
    <w:rPr>
      <w:i/>
      <w:iCs/>
      <w:color w:val="0F4761"/>
    </w:rPr>
  </w:style>
  <w:style w:type="character" w:styleId="ab">
    <w:name w:val="Intense Reference"/>
    <w:uiPriority w:val="32"/>
    <w:qFormat/>
    <w:rsid w:val="00EE2D3A"/>
    <w:rPr>
      <w:b/>
      <w:bCs/>
      <w:smallCaps/>
      <w:color w:val="0F4761"/>
      <w:spacing w:val="5"/>
    </w:rPr>
  </w:style>
  <w:style w:type="character" w:styleId="ac">
    <w:name w:val="Hyperlink"/>
    <w:uiPriority w:val="99"/>
    <w:unhideWhenUsed/>
    <w:rsid w:val="0063070E"/>
    <w:rPr>
      <w:color w:val="467886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63070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692F47"/>
  </w:style>
  <w:style w:type="character" w:styleId="ae">
    <w:name w:val="annotation reference"/>
    <w:uiPriority w:val="99"/>
    <w:semiHidden/>
    <w:unhideWhenUsed/>
    <w:rsid w:val="00AB7B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B5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AB7B52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B5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B7B5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B7B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AB7B52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f5">
    <w:name w:val="FollowedHyperlink"/>
    <w:uiPriority w:val="99"/>
    <w:semiHidden/>
    <w:unhideWhenUsed/>
    <w:rsid w:val="00C230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73-000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17567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864E-B44F-473D-8C6F-B80EDCDE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https://rscf.ru/project/24-73-00034/</vt:lpwstr>
      </vt:variant>
      <vt:variant>
        <vt:lpwstr/>
      </vt:variant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mailto:St117567@student.spbu.ru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Синицкий</dc:creator>
  <cp:keywords/>
  <dc:description/>
  <cp:lastModifiedBy>Кирилл Синицкий</cp:lastModifiedBy>
  <cp:revision>6</cp:revision>
  <dcterms:created xsi:type="dcterms:W3CDTF">2025-03-03T18:47:00Z</dcterms:created>
  <dcterms:modified xsi:type="dcterms:W3CDTF">2025-03-03T19:01:00Z</dcterms:modified>
</cp:coreProperties>
</file>