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8B1C9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Оценка устойчивости к климатическому старению  двусхлойного композиционного  материала из СВМПЭ и резины на основе БНКС-18 </w:t>
      </w:r>
    </w:p>
    <w:p w14:paraId="5F4AE36D">
      <w:pPr>
        <w:shd w:val="clear" w:color="auto" w:fill="FFFFFF"/>
        <w:jc w:val="center"/>
        <w:rPr>
          <w:rFonts w:hint="default"/>
          <w:b/>
          <w:bCs/>
          <w:lang w:val="ru-RU"/>
        </w:rPr>
      </w:pPr>
      <w:r>
        <w:rPr>
          <w:b/>
          <w:color w:val="000000"/>
          <w:lang w:val="ru-RU"/>
        </w:rPr>
        <w:t>после</w:t>
      </w:r>
      <w:r>
        <w:rPr>
          <w:rFonts w:hint="default"/>
          <w:b/>
          <w:color w:val="000000"/>
          <w:lang w:val="ru-RU"/>
        </w:rPr>
        <w:t xml:space="preserve"> натурного старения</w:t>
      </w:r>
    </w:p>
    <w:p w14:paraId="0650A77E">
      <w:pPr>
        <w:jc w:val="center"/>
        <w:rPr>
          <w:b/>
          <w:bCs/>
        </w:rPr>
      </w:pPr>
      <w:r>
        <w:rPr>
          <w:b/>
          <w:bCs/>
        </w:rPr>
        <w:t xml:space="preserve">Т.А. Гаврильев, В.В. Мухин, Н.Н. Петрова, А.А. Дъяконов </w:t>
      </w:r>
    </w:p>
    <w:p w14:paraId="7E0C90C7">
      <w:pPr>
        <w:jc w:val="center"/>
        <w:rPr>
          <w:i/>
          <w:iCs/>
        </w:rPr>
      </w:pPr>
      <w:r>
        <w:rPr>
          <w:i/>
          <w:iCs/>
        </w:rPr>
        <w:t>1 курс магистратуры</w:t>
      </w:r>
    </w:p>
    <w:p w14:paraId="1C2215E8">
      <w:pPr>
        <w:jc w:val="center"/>
        <w:rPr>
          <w:i/>
          <w:iCs/>
        </w:rPr>
      </w:pPr>
      <w:r>
        <w:rPr>
          <w:i/>
          <w:iCs/>
        </w:rPr>
        <w:t>«Северо-Восточный федеральный университет</w:t>
      </w:r>
    </w:p>
    <w:p w14:paraId="2D12AC27">
      <w:pPr>
        <w:jc w:val="center"/>
        <w:rPr>
          <w:i/>
          <w:iCs/>
        </w:rPr>
      </w:pPr>
      <w:r>
        <w:rPr>
          <w:i/>
          <w:iCs/>
        </w:rPr>
        <w:t>имени М.К. Аммосова», Якутск, Россия</w:t>
      </w:r>
    </w:p>
    <w:p w14:paraId="6DD8F181">
      <w:pPr>
        <w:jc w:val="both"/>
      </w:pPr>
      <w:r>
        <w:t xml:space="preserve">Одним из перспективных способов повышения надежности эксплуатации эластомеров в условиях Крайнего Севера является использование двухслойных полимерных материалов, которые сочетают свойства разных материалов, например, эластомера и термопласта. Недостатки эластомеров, такие как низкие физико-механические и триботехнические характеристики, можно компенсировать поверхностной модификацией, например, сверхвысокомолекулярным полиэтиленом (СВМПЭ </w:t>
      </w:r>
      <w:r>
        <w:rPr>
          <w:lang w:val="en-US"/>
        </w:rPr>
        <w:t>GUR</w:t>
      </w:r>
      <w:r>
        <w:t>4022) Однако их высокая морозостойкость должна быть подтверждена натурными испытаниями при старении в естественных климатических условиях. [1].</w:t>
      </w:r>
    </w:p>
    <w:p w14:paraId="6460C943">
      <w:pPr>
        <w:jc w:val="both"/>
      </w:pPr>
      <w:r>
        <w:rPr>
          <w:rFonts w:eastAsia="SimSun"/>
          <w:szCs w:val="28"/>
        </w:rPr>
        <w:t xml:space="preserve"> </w:t>
      </w:r>
      <w:r>
        <w:t xml:space="preserve">Целью работы является оценка характеристик двухслойных материалов при натурной климатической экспозиции в условиях сурового резко континентального климата г.Якутск Республики Саха (Якутия). </w:t>
      </w:r>
      <w:r>
        <w:rPr>
          <w:lang w:eastAsia="en-US"/>
        </w:rPr>
        <w:t>Впервые исследовано влияние натурного климатического старения на механические свойства двухслойного композиционного материала из СВМПЭ и резины на основе бутадиен-нитрильного каучука (БНКС-18) в течение 10 месяцев. Исследование будет продолжаться в течение 2 лет.</w:t>
      </w:r>
    </w:p>
    <w:p w14:paraId="7EE89B9B">
      <w:pPr>
        <w:jc w:val="both"/>
      </w:pPr>
      <w:r>
        <w:drawing>
          <wp:inline distT="0" distB="0" distL="0" distR="0">
            <wp:extent cx="5553075" cy="1755775"/>
            <wp:effectExtent l="0" t="0" r="9525" b="1206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14:paraId="19C23D67">
      <w:pPr>
        <w:jc w:val="center"/>
        <w:rPr>
          <w:lang w:eastAsia="en-US"/>
        </w:rPr>
      </w:pPr>
      <w:r>
        <w:t xml:space="preserve">Рисунок 1 – Зависимость условной прочности от продолжительности экспозиции </w:t>
      </w:r>
    </w:p>
    <w:p w14:paraId="5B7C235D">
      <w:pPr>
        <w:jc w:val="both"/>
        <w:rPr>
          <w:bCs/>
        </w:rPr>
      </w:pPr>
      <w:r>
        <w:rPr>
          <w:bCs/>
        </w:rPr>
        <w:t>Натурное климатическое старение двухслойного композита СВМПЭ/резина на основе БНКС-18 привело к значительному снижению условной прочности при растяжении слоя СВМПЭ (на 90%) после 6 месяцев экспозиции, когда СВМПЭ подвергался прямому воздействию солнечного излучения. При этом изменения физико-механических свойств образцов, подвергавшихся старению со стороны резинового слоя, были менее выражены.</w:t>
      </w:r>
    </w:p>
    <w:p w14:paraId="60377903">
      <w:pPr>
        <w:jc w:val="both"/>
        <w:rPr>
          <w:lang w:eastAsia="en-US"/>
        </w:rPr>
      </w:pPr>
      <w:r>
        <w:rPr>
          <w:lang w:eastAsia="en-US"/>
        </w:rPr>
        <w:t xml:space="preserve"> Снижение физико-механических свойств СВМПЭ связано с разрушением поверхности материала, что показывают данные оптической и сканирующей электронной микроскопии. Разрушение поверхности происходит вследствие протекания окислительных процессов (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m:rPr/>
              <w:rPr>
                <w:rFonts w:ascii="Cambria Math" w:hAnsi="Cambria Math"/>
                <w:lang w:eastAsia="en-US"/>
              </w:rPr>
              <m:t>О</m:t>
            </m:r>
            <m:ctrlPr>
              <w:rPr>
                <w:rFonts w:ascii="Cambria Math" w:hAnsi="Cambria Math"/>
                <w:i/>
                <w:lang w:eastAsia="en-US"/>
              </w:rPr>
            </m:ctrlPr>
          </m:e>
          <m:sub>
            <m:r>
              <m:rPr/>
              <w:rPr>
                <w:rFonts w:ascii="Cambria Math" w:hAnsi="Cambria Math"/>
                <w:lang w:eastAsia="en-US"/>
              </w:rPr>
              <m:t>2</m:t>
            </m:r>
            <m:ctrlPr>
              <w:rPr>
                <w:rFonts w:ascii="Cambria Math" w:hAnsi="Cambria Math"/>
                <w:i/>
                <w:lang w:eastAsia="en-US"/>
              </w:rPr>
            </m:ctrlPr>
          </m:sub>
        </m:sSub>
      </m:oMath>
      <w:r>
        <w:rPr>
          <w:lang w:eastAsia="en-US"/>
        </w:rPr>
        <w:t>, озон, ультрафиолет) старения полимера по свободно-радикальному цепному механизму разрушения, что подтверждается данными ИК спектроскопии.</w:t>
      </w:r>
    </w:p>
    <w:p w14:paraId="33563503">
      <w:pPr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Работа выполнена в рамках государственного задания FSRG-2023-0026.</w:t>
      </w:r>
    </w:p>
    <w:p w14:paraId="49FB031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Литература</w:t>
      </w:r>
    </w:p>
    <w:p w14:paraId="34833F4C">
      <w:pPr>
        <w:pStyle w:val="16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Патент № 2780107 C1 Российская Федерация, МПК C08C 4/00, B32B 25/08. Двухслойный композиционный материал на основе сверхвысокомолекулярного полиэтилена и эластомера : № 2021132805 : заявл. 11.11.2021 : опубл. 19.09.2022 / А. А. Дьяконов, С. Н. Данилова, А. П. Васильев [и др.] ; заявитель Федеральное государственное автономное образовательное учреждение высшего образования "Северо-Восточный федеральный университет имени М.К.Аммосова". 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00CEB"/>
    <w:multiLevelType w:val="multilevel"/>
    <w:tmpl w:val="3D300CEB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318B"/>
    <w:rsid w:val="001E61C2"/>
    <w:rsid w:val="001F0493"/>
    <w:rsid w:val="002264EE"/>
    <w:rsid w:val="0023307C"/>
    <w:rsid w:val="0026052E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23C9B"/>
    <w:rsid w:val="0066300B"/>
    <w:rsid w:val="0069427D"/>
    <w:rsid w:val="006F7A19"/>
    <w:rsid w:val="00703122"/>
    <w:rsid w:val="007213E1"/>
    <w:rsid w:val="00775389"/>
    <w:rsid w:val="00797838"/>
    <w:rsid w:val="007C36D8"/>
    <w:rsid w:val="007F2744"/>
    <w:rsid w:val="0083772C"/>
    <w:rsid w:val="008931BE"/>
    <w:rsid w:val="008C67E3"/>
    <w:rsid w:val="0090046D"/>
    <w:rsid w:val="00921D45"/>
    <w:rsid w:val="009A66DB"/>
    <w:rsid w:val="009B2F80"/>
    <w:rsid w:val="009B3300"/>
    <w:rsid w:val="009F3380"/>
    <w:rsid w:val="00A02163"/>
    <w:rsid w:val="00A314FE"/>
    <w:rsid w:val="00A416A1"/>
    <w:rsid w:val="00A643C5"/>
    <w:rsid w:val="00AB2B20"/>
    <w:rsid w:val="00BF36F8"/>
    <w:rsid w:val="00BF4622"/>
    <w:rsid w:val="00C5560C"/>
    <w:rsid w:val="00CC2171"/>
    <w:rsid w:val="00CD00B1"/>
    <w:rsid w:val="00CD6270"/>
    <w:rsid w:val="00D22306"/>
    <w:rsid w:val="00D3678C"/>
    <w:rsid w:val="00D42542"/>
    <w:rsid w:val="00D8121C"/>
    <w:rsid w:val="00E22189"/>
    <w:rsid w:val="00E74069"/>
    <w:rsid w:val="00EB1F49"/>
    <w:rsid w:val="00ED7ABE"/>
    <w:rsid w:val="00F13A0A"/>
    <w:rsid w:val="00F46CD2"/>
    <w:rsid w:val="00F865B3"/>
    <w:rsid w:val="00FB1509"/>
    <w:rsid w:val="00FF0855"/>
    <w:rsid w:val="00FF1903"/>
    <w:rsid w:val="010C17F2"/>
    <w:rsid w:val="07752CF0"/>
    <w:rsid w:val="07C10D99"/>
    <w:rsid w:val="09F03844"/>
    <w:rsid w:val="0C822053"/>
    <w:rsid w:val="0EB66486"/>
    <w:rsid w:val="159D5DC8"/>
    <w:rsid w:val="182C1653"/>
    <w:rsid w:val="1BC129C4"/>
    <w:rsid w:val="2A182A1D"/>
    <w:rsid w:val="33C22F6A"/>
    <w:rsid w:val="36E03335"/>
    <w:rsid w:val="3A1D02E4"/>
    <w:rsid w:val="3B0B51D6"/>
    <w:rsid w:val="3F0318D7"/>
    <w:rsid w:val="41264554"/>
    <w:rsid w:val="43AE3A19"/>
    <w:rsid w:val="442C6036"/>
    <w:rsid w:val="4F150715"/>
    <w:rsid w:val="56FF1741"/>
    <w:rsid w:val="641F4978"/>
    <w:rsid w:val="6A972AF7"/>
    <w:rsid w:val="6F1B107B"/>
    <w:rsid w:val="6F4330C2"/>
    <w:rsid w:val="729E79B5"/>
    <w:rsid w:val="75ED5992"/>
    <w:rsid w:val="7FF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397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link w:val="2"/>
    <w:qFormat/>
    <w:uiPriority w:val="9"/>
    <w:rPr>
      <w:b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</w:style>
  <w:style w:type="character" w:customStyle="1" w:styleId="17">
    <w:name w:val="Абзац списка Знак"/>
    <w:basedOn w:val="8"/>
    <w:link w:val="16"/>
    <w:qFormat/>
    <w:locked/>
    <w:uiPriority w:val="34"/>
  </w:style>
  <w:style w:type="character" w:styleId="18">
    <w:name w:val="Placeholder Text"/>
    <w:basedOn w:val="8"/>
    <w:semiHidden/>
    <w:qFormat/>
    <w:uiPriority w:val="99"/>
    <w:rPr>
      <w:color w:val="808080"/>
    </w:rPr>
  </w:style>
  <w:style w:type="paragraph" w:styleId="19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20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Резина солнечная сторона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cust"/>
            <c:noEndCap val="0"/>
            <c:plus>
              <c:numRef>
                <c:f>Лист1!$C$2:$C$7</c:f>
                <c:numCache>
                  <c:formatCode>General</c:formatCode>
                  <c:ptCount val="6"/>
                  <c:pt idx="0">
                    <c:v>3</c:v>
                  </c:pt>
                  <c:pt idx="1">
                    <c:v>0.9</c:v>
                  </c:pt>
                  <c:pt idx="2">
                    <c:v>2.6</c:v>
                  </c:pt>
                  <c:pt idx="3">
                    <c:v>3</c:v>
                  </c:pt>
                  <c:pt idx="4">
                    <c:v>3.165</c:v>
                  </c:pt>
                  <c:pt idx="5">
                    <c:v>2.5</c:v>
                  </c:pt>
                </c:numCache>
              </c:numRef>
            </c:plus>
            <c:minus>
              <c:numRef>
                <c:f>Лист1!$C$2:$C$14</c:f>
                <c:numCache>
                  <c:formatCode>General</c:formatCode>
                  <c:ptCount val="13"/>
                  <c:pt idx="0">
                    <c:v>3</c:v>
                  </c:pt>
                  <c:pt idx="1">
                    <c:v>0.9</c:v>
                  </c:pt>
                  <c:pt idx="2">
                    <c:v>2.6</c:v>
                  </c:pt>
                  <c:pt idx="3">
                    <c:v>3</c:v>
                  </c:pt>
                  <c:pt idx="4">
                    <c:v>3.165</c:v>
                  </c:pt>
                  <c:pt idx="5">
                    <c:v>2.5</c:v>
                  </c:pt>
                  <c:pt idx="12">
                    <c:v>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Лист1!$A$2:$A$7</c:f>
              <c:numCache>
                <c:formatCode>@</c:formatCode>
                <c:ptCount val="6"/>
                <c:pt idx="0" c:formatCode="@">
                  <c:v>0</c:v>
                </c:pt>
                <c:pt idx="1" c:formatCode="@">
                  <c:v>2</c:v>
                </c:pt>
                <c:pt idx="2" c:formatCode="@">
                  <c:v>4</c:v>
                </c:pt>
                <c:pt idx="3" c:formatCode="@">
                  <c:v>6</c:v>
                </c:pt>
                <c:pt idx="4" c:formatCode="@">
                  <c:v>8</c:v>
                </c:pt>
                <c:pt idx="5" c:formatCode="@">
                  <c:v>10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21.2</c:v>
                </c:pt>
                <c:pt idx="1">
                  <c:v>19.3</c:v>
                </c:pt>
                <c:pt idx="2">
                  <c:v>27.5</c:v>
                </c:pt>
                <c:pt idx="3">
                  <c:v>29.5</c:v>
                </c:pt>
                <c:pt idx="4">
                  <c:v>21.1</c:v>
                </c:pt>
                <c:pt idx="5">
                  <c:v>21.8</c:v>
                </c:pt>
              </c:numCache>
            </c:numRef>
          </c:val>
        </c:ser>
        <c:ser>
          <c:idx val="1"/>
          <c:order val="1"/>
          <c:tx>
            <c:strRef>
              <c:f>Лист1!$D$14</c:f>
              <c:strCache>
                <c:ptCount val="1"/>
                <c:pt idx="0">
                  <c:v>СВМПЭ солнечная сторона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cust"/>
            <c:noEndCap val="0"/>
            <c:plus>
              <c:numRef>
                <c:f>Лист1!$C$14:$C$19</c:f>
                <c:numCache>
                  <c:formatCode>General</c:formatCode>
                  <c:ptCount val="6"/>
                  <c:pt idx="0">
                    <c:v>3</c:v>
                  </c:pt>
                  <c:pt idx="1">
                    <c:v>3.1</c:v>
                  </c:pt>
                  <c:pt idx="2">
                    <c:v>3</c:v>
                  </c:pt>
                  <c:pt idx="3">
                    <c:v>0.5</c:v>
                  </c:pt>
                  <c:pt idx="4">
                    <c:v>0.4</c:v>
                  </c:pt>
                  <c:pt idx="5">
                    <c:v>0.45</c:v>
                  </c:pt>
                </c:numCache>
              </c:numRef>
            </c:plus>
            <c:minus>
              <c:numRef>
                <c:f>Лист1!$C$14:$C$19</c:f>
                <c:numCache>
                  <c:formatCode>General</c:formatCode>
                  <c:ptCount val="6"/>
                  <c:pt idx="0">
                    <c:v>3</c:v>
                  </c:pt>
                  <c:pt idx="1">
                    <c:v>3.1</c:v>
                  </c:pt>
                  <c:pt idx="2">
                    <c:v>3</c:v>
                  </c:pt>
                  <c:pt idx="3">
                    <c:v>0.5</c:v>
                  </c:pt>
                  <c:pt idx="4">
                    <c:v>0.4</c:v>
                  </c:pt>
                  <c:pt idx="5">
                    <c:v>0.45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Лист1!$A$2:$A$7</c:f>
              <c:numCache>
                <c:formatCode>@</c:formatCode>
                <c:ptCount val="6"/>
                <c:pt idx="0" c:formatCode="@">
                  <c:v>0</c:v>
                </c:pt>
                <c:pt idx="1" c:formatCode="@">
                  <c:v>2</c:v>
                </c:pt>
                <c:pt idx="2" c:formatCode="@">
                  <c:v>4</c:v>
                </c:pt>
                <c:pt idx="3" c:formatCode="@">
                  <c:v>6</c:v>
                </c:pt>
                <c:pt idx="4" c:formatCode="@">
                  <c:v>8</c:v>
                </c:pt>
                <c:pt idx="5" c:formatCode="@">
                  <c:v>10</c:v>
                </c:pt>
              </c:numCache>
            </c:numRef>
          </c:cat>
          <c:val>
            <c:numRef>
              <c:f>Лист1!$B$14:$B$19</c:f>
              <c:numCache>
                <c:formatCode>General</c:formatCode>
                <c:ptCount val="6"/>
                <c:pt idx="0">
                  <c:v>21.2</c:v>
                </c:pt>
                <c:pt idx="1">
                  <c:v>27</c:v>
                </c:pt>
                <c:pt idx="2">
                  <c:v>19.1</c:v>
                </c:pt>
                <c:pt idx="3">
                  <c:v>2.1</c:v>
                </c:pt>
                <c:pt idx="4">
                  <c:v>2.3</c:v>
                </c:pt>
                <c:pt idx="5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3935280"/>
        <c:axId val="303935840"/>
      </c:barChart>
      <c:catAx>
        <c:axId val="303935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Продолжительность экспозиции, мес.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3935840"/>
        <c:crosses val="autoZero"/>
        <c:auto val="1"/>
        <c:lblAlgn val="ctr"/>
        <c:lblOffset val="100"/>
        <c:noMultiLvlLbl val="0"/>
      </c:catAx>
      <c:valAx>
        <c:axId val="3039358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baseline="0">
                    <a:effectLst/>
                  </a:rPr>
                  <a:t>Условная прочность , </a:t>
                </a:r>
                <a:r>
                  <a:rPr lang="en-US" sz="1000" b="0" i="0" u="none" strike="noStrike" baseline="0">
                    <a:effectLst/>
                  </a:rPr>
                  <a:t>fp, </a:t>
                </a:r>
                <a:r>
                  <a:rPr lang="ru-RU" sz="1000" b="0" i="0" u="none" strike="noStrike" baseline="0">
                    <a:effectLst/>
                  </a:rPr>
                  <a:t>МПа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393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690507494084"/>
          <c:y val="0.403706050047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a3dfa87-656f-43e7-a684-041d1b4412b6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933B2B-C5B8-4464-B807-43B86AFE2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407</Words>
  <Characters>2326</Characters>
  <Lines>19</Lines>
  <Paragraphs>5</Paragraphs>
  <TotalTime>19</TotalTime>
  <ScaleCrop>false</ScaleCrop>
  <LinksUpToDate>false</LinksUpToDate>
  <CharactersWithSpaces>2728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2025-02-28T06:42:00Z</dcterms:created>
  <dc:creator>timur</dc:creator>
  <cp:lastModifiedBy>Gelzer ruiner</cp:lastModifiedBy>
  <dcterms:modified xsi:type="dcterms:W3CDTF">2025-03-02T12:16:22Z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1049-12.2.0.20323</vt:lpwstr>
  </property>
  <property fmtid="{D5CDD505-2E9C-101B-9397-08002B2CF9AE}" pid="26" name="ICV">
    <vt:lpwstr>BC78D2E6E1AF4115A7DEE6A97E2529A5_13</vt:lpwstr>
  </property>
</Properties>
</file>