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Влияние усниновой кислоты н</w:t>
      </w:r>
      <w:r w:rsidDel="00000000" w:rsidR="00000000" w:rsidRPr="00000000">
        <w:rPr>
          <w:b w:val="1"/>
          <w:rtl w:val="0"/>
        </w:rPr>
        <w:t xml:space="preserve">а </w:t>
      </w:r>
      <w:r w:rsidDel="00000000" w:rsidR="00000000" w:rsidRPr="00000000">
        <w:rPr>
          <w:b w:val="1"/>
          <w:color w:val="000000"/>
          <w:rtl w:val="0"/>
        </w:rPr>
        <w:t xml:space="preserve">свойства сверхвысокомолекулярного полиэтилена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Винокурова А.В.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</w:t>
      </w:r>
      <w:r w:rsidDel="00000000" w:rsidR="00000000" w:rsidRPr="00000000">
        <w:rPr>
          <w:b w:val="1"/>
          <w:i w:val="1"/>
          <w:rtl w:val="0"/>
        </w:rPr>
        <w:t xml:space="preserve">Спиридонов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.М.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специалитета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Северо-Восточный федеральный университет имени М.К. Аммосова,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Институт естественных наук,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Якутск,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vinokurovaajgula@gmail.com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В настоящее время сверхвысокомолекулярный полиэтилен (СВМПЭ) широко используется в имплантологии благодаря своим повышенным прочностным и износостойким свойствам [1]. Добавление в СВМПЭ антиоксидантов позволит уменьшить образование частиц износа в ходе эксплуатации материала. В качестве антиоксидантного наполнителя была использована усниновая кислота, которая может повысить триботехнические свойства и биосовместимость материала благодаря своим противовирусным и антибактериальным свойствам.</w:t>
      </w:r>
    </w:p>
    <w:p w:rsidR="00000000" w:rsidDel="00000000" w:rsidP="00000000" w:rsidRDefault="00000000" w:rsidRPr="00000000" w14:paraId="00000008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Целью работы является исследование влияния усниновой кислоты на свойства CВМПЭ.</w:t>
      </w:r>
    </w:p>
    <w:p w:rsidR="00000000" w:rsidDel="00000000" w:rsidP="00000000" w:rsidRDefault="00000000" w:rsidRPr="00000000" w14:paraId="00000009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Объектами исследования в данной работе служили полимерные композиционные материалы (ПКМ) на основе СВМПЭ марки GUR 4150 с массовыми содержаниями усниновой кислоты 0.1 %, 0.2 %, 0.5 %, 1.0 % от общей массы.</w:t>
      </w:r>
    </w:p>
    <w:p w:rsidR="00000000" w:rsidDel="00000000" w:rsidP="00000000" w:rsidRDefault="00000000" w:rsidRPr="00000000" w14:paraId="0000000A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Прочность при растяжении и относительное удлинение при разрыве определяли по ГОСТ 11262-80 (ASTMD 638M) на испытательной машине “Autograph AGS-J” (Shimadzu, Япония). Скорость массового изнашивания и коэффициент трения ПКМ определяли на универсальном трибометре UMT-2 (CETR, США) по схеме трения «палец-диск» на основе ГОСТ 11629-75.</w:t>
      </w:r>
    </w:p>
    <w:p w:rsidR="00000000" w:rsidDel="00000000" w:rsidP="00000000" w:rsidRDefault="00000000" w:rsidRPr="00000000" w14:paraId="0000000B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Анализ физико-механических и триботехнических характеристик ПКМ (табл.1) показывает, что при наполнении полимера 0.2 масс. % усниновой кислоты относительное удлинение увеличивается на 50% по сравнению с нативным СВМПЭ, а у композита с содержанием 0.1 масс. % наблюдается максимальное значение прочности при разрыве - 43 МПа. Также из табл.1 видно, что снижается скорость массового изнашивания до 4.5 раз у полимера с наполнением 1.0 масс. % усниновой кислоты по сравнению с исходным полимером.</w:t>
      </w:r>
    </w:p>
    <w:p w:rsidR="00000000" w:rsidDel="00000000" w:rsidP="00000000" w:rsidRDefault="00000000" w:rsidRPr="00000000" w14:paraId="0000000C">
      <w:pPr>
        <w:keepNext w:val="1"/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Таблица 1. Физико-механические и триботехнические характеристики СВМПЭ</w:t>
      </w:r>
    </w:p>
    <w:tbl>
      <w:tblPr>
        <w:tblStyle w:val="Table1"/>
        <w:tblW w:w="91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710"/>
        <w:gridCol w:w="1650"/>
        <w:gridCol w:w="1665"/>
        <w:gridCol w:w="1830"/>
        <w:tblGridChange w:id="0">
          <w:tblGrid>
            <w:gridCol w:w="2295"/>
            <w:gridCol w:w="1710"/>
            <w:gridCol w:w="1650"/>
            <w:gridCol w:w="1665"/>
            <w:gridCol w:w="183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Композит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Ɛ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vertAlign w:val="subscript"/>
                <w:rtl w:val="0"/>
              </w:rPr>
              <w:t xml:space="preserve">рр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%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0" w:line="240" w:lineRule="auto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σ</w:t>
            </w:r>
            <w:r w:rsidDel="00000000" w:rsidR="00000000" w:rsidRPr="00000000">
              <w:rPr>
                <w:i w:val="1"/>
                <w:sz w:val="18"/>
                <w:szCs w:val="18"/>
                <w:vertAlign w:val="subscript"/>
                <w:rtl w:val="0"/>
              </w:rPr>
              <w:t xml:space="preserve">рр,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МПа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0" w:line="240" w:lineRule="auto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I, мг/час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0" w:line="240" w:lineRule="auto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f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СВМПЭ GUR4150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353±19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39±3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0.18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0.41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СВМПЭ+уснин.0.1%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387±19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43±3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0.13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0.40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СВМПЭ+уснин.0.2%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402±19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41±1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0.08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0.43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СВМПЭ+уснин.0.5%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362±7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38±1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0.07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0.37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СВМПЭ+уснин.1.0%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350±3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38±2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0.04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0.33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Ɛ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bscript"/>
          <w:rtl w:val="0"/>
        </w:rPr>
        <w:t xml:space="preserve">рр</w:t>
      </w:r>
      <w:r w:rsidDel="00000000" w:rsidR="00000000" w:rsidRPr="00000000">
        <w:rPr>
          <w:sz w:val="22"/>
          <w:szCs w:val="22"/>
          <w:rtl w:val="0"/>
        </w:rPr>
        <w:t xml:space="preserve">, % - относительное удлинение при разрыве; </w:t>
      </w:r>
      <w:r w:rsidDel="00000000" w:rsidR="00000000" w:rsidRPr="00000000">
        <w:rPr>
          <w:i w:val="1"/>
          <w:sz w:val="22"/>
          <w:szCs w:val="22"/>
          <w:rtl w:val="0"/>
        </w:rPr>
        <w:t xml:space="preserve">σ</w:t>
      </w:r>
      <w:r w:rsidDel="00000000" w:rsidR="00000000" w:rsidRPr="00000000">
        <w:rPr>
          <w:i w:val="1"/>
          <w:sz w:val="18"/>
          <w:szCs w:val="18"/>
          <w:vertAlign w:val="subscript"/>
          <w:rtl w:val="0"/>
        </w:rPr>
        <w:t xml:space="preserve">рр, </w:t>
      </w:r>
      <w:r w:rsidDel="00000000" w:rsidR="00000000" w:rsidRPr="00000000">
        <w:rPr>
          <w:i w:val="1"/>
          <w:sz w:val="22"/>
          <w:szCs w:val="22"/>
          <w:rtl w:val="0"/>
        </w:rPr>
        <w:t xml:space="preserve">МПа</w:t>
      </w:r>
      <w:r w:rsidDel="00000000" w:rsidR="00000000" w:rsidRPr="00000000">
        <w:rPr>
          <w:sz w:val="22"/>
          <w:szCs w:val="22"/>
          <w:rtl w:val="0"/>
        </w:rPr>
        <w:t xml:space="preserve"> - прочность при разрыве; </w:t>
      </w:r>
      <w:r w:rsidDel="00000000" w:rsidR="00000000" w:rsidRPr="00000000">
        <w:rPr>
          <w:i w:val="1"/>
          <w:sz w:val="22"/>
          <w:szCs w:val="22"/>
          <w:rtl w:val="0"/>
        </w:rPr>
        <w:t xml:space="preserve">I,  мг/час</w:t>
      </w:r>
      <w:r w:rsidDel="00000000" w:rsidR="00000000" w:rsidRPr="00000000">
        <w:rPr>
          <w:sz w:val="22"/>
          <w:szCs w:val="22"/>
          <w:rtl w:val="0"/>
        </w:rPr>
        <w:t xml:space="preserve"> - скорость массового изнашивания, </w:t>
      </w:r>
      <w:r w:rsidDel="00000000" w:rsidR="00000000" w:rsidRPr="00000000">
        <w:rPr>
          <w:i w:val="1"/>
          <w:sz w:val="22"/>
          <w:szCs w:val="22"/>
          <w:rtl w:val="0"/>
        </w:rPr>
        <w:t xml:space="preserve">f</w:t>
      </w:r>
      <w:r w:rsidDel="00000000" w:rsidR="00000000" w:rsidRPr="00000000">
        <w:rPr>
          <w:sz w:val="22"/>
          <w:szCs w:val="22"/>
          <w:rtl w:val="0"/>
        </w:rPr>
        <w:t xml:space="preserve"> - коэффициент трения.</w:t>
      </w:r>
    </w:p>
    <w:p w:rsidR="00000000" w:rsidDel="00000000" w:rsidP="00000000" w:rsidRDefault="00000000" w:rsidRPr="00000000" w14:paraId="0000002C">
      <w:pPr>
        <w:ind w:firstLine="425.1968503937008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Полученные композиты могут использоваться</w:t>
      </w:r>
      <w:r w:rsidDel="00000000" w:rsidR="00000000" w:rsidRPr="00000000">
        <w:rPr>
          <w:sz w:val="22"/>
          <w:szCs w:val="22"/>
          <w:rtl w:val="0"/>
        </w:rPr>
        <w:t xml:space="preserve"> в качестве антифрикционных материалов в узлах трения, включая использование их в искусственных суставных протезах.</w:t>
      </w:r>
    </w:p>
    <w:p w:rsidR="00000000" w:rsidDel="00000000" w:rsidP="00000000" w:rsidRDefault="00000000" w:rsidRPr="00000000" w14:paraId="0000002D">
      <w:pPr>
        <w:shd w:fill="ffffff" w:val="clear"/>
        <w:ind w:firstLine="397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firstLine="397"/>
        <w:jc w:val="both"/>
        <w:rPr/>
      </w:pPr>
      <w:r w:rsidDel="00000000" w:rsidR="00000000" w:rsidRPr="00000000">
        <w:rPr>
          <w:rtl w:val="0"/>
        </w:rPr>
        <w:t xml:space="preserve"> Благодарность: работа выполнена при финансовой поддержке Министерства науки и высшего образования РФ (проект №FSRG-2024-0004).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Литература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1. Kurtz, S.M. The UHMWPE Biomaterials Handbook: Ultra-High Molecular Weight Polyethylene in Total Joint Replacement and Medical Devices / S.M. Kurtz. – Second Edition. – Burlington: Academic Press, 2009. – 530 p.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3" w:top="1133" w:left="1360" w:right="136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