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40273" w14:textId="4D65ECDC" w:rsidR="002808DD" w:rsidRDefault="002808DD" w:rsidP="005141DB">
      <w:pPr>
        <w:jc w:val="center"/>
        <w:rPr>
          <w:b/>
          <w:bCs/>
          <w:shd w:val="clear" w:color="auto" w:fill="FFFFFF"/>
        </w:rPr>
      </w:pPr>
      <w:r w:rsidRPr="002808DD">
        <w:rPr>
          <w:b/>
          <w:bCs/>
        </w:rPr>
        <w:t xml:space="preserve">Быстрая и точная диагностика </w:t>
      </w:r>
      <w:r w:rsidRPr="00F77896">
        <w:rPr>
          <w:b/>
          <w:bCs/>
          <w:i/>
        </w:rPr>
        <w:t>C. difficile</w:t>
      </w:r>
      <w:r w:rsidRPr="002808DD">
        <w:rPr>
          <w:b/>
          <w:bCs/>
        </w:rPr>
        <w:t>: новый ИХА тест для выявления токсинов А и В</w:t>
      </w:r>
    </w:p>
    <w:p w14:paraId="00000002" w14:textId="1199419A" w:rsidR="00130241" w:rsidRPr="009E4AFB" w:rsidRDefault="005141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Муратова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К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В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  <w:vertAlign w:val="superscript"/>
        </w:rPr>
        <w:t>,2</w:t>
      </w:r>
      <w:r>
        <w:rPr>
          <w:b/>
          <w:color w:val="000000"/>
        </w:rPr>
        <w:t xml:space="preserve">, </w:t>
      </w:r>
      <w:r>
        <w:rPr>
          <w:b/>
          <w:i/>
          <w:color w:val="000000"/>
        </w:rPr>
        <w:t>Моисеева А.А.</w:t>
      </w:r>
      <w:r w:rsidRPr="003B76D6">
        <w:rPr>
          <w:b/>
          <w:i/>
          <w:color w:val="000000"/>
          <w:vertAlign w:val="superscript"/>
        </w:rPr>
        <w:t>1</w:t>
      </w:r>
      <w:r w:rsidR="009E4AFB">
        <w:rPr>
          <w:b/>
          <w:i/>
          <w:color w:val="000000"/>
        </w:rPr>
        <w:t>, Семейкина А.А.</w:t>
      </w:r>
      <w:r w:rsidR="009E4AFB" w:rsidRPr="003B76D6">
        <w:rPr>
          <w:b/>
          <w:i/>
          <w:color w:val="000000"/>
          <w:vertAlign w:val="superscript"/>
        </w:rPr>
        <w:t>1</w:t>
      </w:r>
    </w:p>
    <w:p w14:paraId="00000003" w14:textId="6187BFAD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</w:t>
      </w:r>
      <w:r w:rsidR="005141DB">
        <w:rPr>
          <w:i/>
          <w:color w:val="000000"/>
        </w:rPr>
        <w:t>бакалавриата</w:t>
      </w:r>
      <w:r>
        <w:rPr>
          <w:i/>
          <w:color w:val="000000"/>
        </w:rPr>
        <w:t xml:space="preserve"> </w:t>
      </w:r>
    </w:p>
    <w:p w14:paraId="00000005" w14:textId="5EF88ECA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5141DB">
        <w:rPr>
          <w:i/>
          <w:color w:val="000000"/>
        </w:rPr>
        <w:t>Институт биохимии им. А.Н. Баха, Федеральный исследовательский центр «Фундаментальные основы биотехнологии» РАН</w:t>
      </w:r>
      <w:r>
        <w:rPr>
          <w:i/>
          <w:color w:val="000000"/>
        </w:rPr>
        <w:t>, Москва, Россия</w:t>
      </w:r>
      <w:r w:rsidR="000E334E" w:rsidRPr="000E334E">
        <w:rPr>
          <w:i/>
          <w:color w:val="000000"/>
        </w:rPr>
        <w:t xml:space="preserve"> </w:t>
      </w:r>
    </w:p>
    <w:p w14:paraId="3C53A72E" w14:textId="716F6C5F" w:rsidR="00AD7380" w:rsidRDefault="00EB1F49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  <w:vertAlign w:val="superscript"/>
        </w:rPr>
        <w:t>2</w:t>
      </w:r>
      <w:r w:rsidR="005141DB" w:rsidRPr="005141DB">
        <w:rPr>
          <w:i/>
          <w:iCs/>
          <w:color w:val="1F1F1F"/>
          <w:shd w:val="clear" w:color="auto" w:fill="FFFFFF"/>
        </w:rPr>
        <w:t>Федеральное государственное бюджетное образовательное учреждение высшего образования "МИРЭА - Российский технологический университет"</w:t>
      </w:r>
      <w:r w:rsidR="00391C38">
        <w:rPr>
          <w:i/>
          <w:color w:val="000000"/>
        </w:rPr>
        <w:t xml:space="preserve">, </w:t>
      </w:r>
      <w:r w:rsidR="005141DB">
        <w:rPr>
          <w:i/>
          <w:color w:val="000000"/>
        </w:rPr>
        <w:t>Москва</w:t>
      </w:r>
      <w:r w:rsidR="00BF36F8">
        <w:rPr>
          <w:i/>
          <w:color w:val="000000"/>
        </w:rPr>
        <w:t>, Россия</w:t>
      </w:r>
    </w:p>
    <w:p w14:paraId="1ADA4293" w14:textId="39BB4BAA" w:rsidR="00CD00B1" w:rsidRPr="004912F4" w:rsidRDefault="00EB1F49" w:rsidP="004912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4912F4">
        <w:rPr>
          <w:i/>
          <w:color w:val="000000"/>
          <w:lang w:val="en-US"/>
        </w:rPr>
        <w:t>E</w:t>
      </w:r>
      <w:r w:rsidR="003B76D6" w:rsidRPr="004912F4">
        <w:rPr>
          <w:i/>
          <w:color w:val="000000"/>
        </w:rPr>
        <w:t>-</w:t>
      </w:r>
      <w:r w:rsidRPr="004912F4">
        <w:rPr>
          <w:i/>
          <w:color w:val="000000"/>
          <w:lang w:val="en-US"/>
        </w:rPr>
        <w:t>mail</w:t>
      </w:r>
      <w:r w:rsidRPr="004912F4">
        <w:rPr>
          <w:i/>
        </w:rPr>
        <w:t xml:space="preserve">: </w:t>
      </w:r>
      <w:hyperlink r:id="rId8" w:history="1">
        <w:r w:rsidR="004912F4" w:rsidRPr="004912F4">
          <w:rPr>
            <w:rStyle w:val="a9"/>
            <w:i/>
            <w:color w:val="auto"/>
            <w:lang w:val="en-US"/>
          </w:rPr>
          <w:t>melonmur</w:t>
        </w:r>
        <w:r w:rsidR="004912F4" w:rsidRPr="004912F4">
          <w:rPr>
            <w:rStyle w:val="a9"/>
            <w:i/>
            <w:color w:val="auto"/>
          </w:rPr>
          <w:t>@</w:t>
        </w:r>
        <w:r w:rsidR="004912F4" w:rsidRPr="004912F4">
          <w:rPr>
            <w:rStyle w:val="a9"/>
            <w:i/>
            <w:color w:val="auto"/>
            <w:lang w:val="en-US"/>
          </w:rPr>
          <w:t>gmail</w:t>
        </w:r>
        <w:r w:rsidR="004912F4" w:rsidRPr="004912F4">
          <w:rPr>
            <w:rStyle w:val="a9"/>
            <w:i/>
            <w:color w:val="auto"/>
          </w:rPr>
          <w:t>.</w:t>
        </w:r>
        <w:r w:rsidR="004912F4" w:rsidRPr="004912F4">
          <w:rPr>
            <w:rStyle w:val="a9"/>
            <w:i/>
            <w:color w:val="auto"/>
            <w:lang w:val="en-US"/>
          </w:rPr>
          <w:t>com</w:t>
        </w:r>
      </w:hyperlink>
    </w:p>
    <w:p w14:paraId="55F11E61" w14:textId="64A6E608" w:rsidR="00C9374D" w:rsidRDefault="009112A0" w:rsidP="009112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9112A0">
        <w:rPr>
          <w:i/>
          <w:iCs/>
        </w:rPr>
        <w:t xml:space="preserve">Clostridioides difficile </w:t>
      </w:r>
      <w:r w:rsidRPr="009112A0">
        <w:t>– анаэробная, грамположительная</w:t>
      </w:r>
      <w:r w:rsidR="00CB7B65">
        <w:t>, спорообразующая</w:t>
      </w:r>
      <w:r w:rsidRPr="009112A0">
        <w:t xml:space="preserve"> бактерия,</w:t>
      </w:r>
      <w:r>
        <w:rPr>
          <w:i/>
          <w:iCs/>
        </w:rPr>
        <w:t xml:space="preserve"> </w:t>
      </w:r>
      <w:r w:rsidR="00CB7B65">
        <w:rPr>
          <w:iCs/>
        </w:rPr>
        <w:t xml:space="preserve">некоторые штаммы которой </w:t>
      </w:r>
      <w:r w:rsidR="00466E03">
        <w:t>продуцирую</w:t>
      </w:r>
      <w:r w:rsidR="00CB7B65">
        <w:t>т</w:t>
      </w:r>
      <w:r w:rsidR="00735843">
        <w:t xml:space="preserve"> токсины. </w:t>
      </w:r>
      <w:r w:rsidR="00754ABA" w:rsidRPr="00754ABA">
        <w:t>Инфекция может быть бессимптомной или вызвать псевдомембранозный колит из-за колонизации токсикогенных штаммов</w:t>
      </w:r>
      <w:r w:rsidR="00735843">
        <w:t xml:space="preserve">. </w:t>
      </w:r>
      <w:r w:rsidR="00754ABA" w:rsidRPr="00754ABA">
        <w:t>Бактерия распространяется через споры, особенно в больницах</w:t>
      </w:r>
      <w:r w:rsidR="003601F6">
        <w:t xml:space="preserve">, </w:t>
      </w:r>
      <w:r w:rsidR="009E4AFB">
        <w:t xml:space="preserve">а </w:t>
      </w:r>
      <w:r w:rsidR="003601F6">
        <w:t xml:space="preserve">основной группой риска являются люди пожилого возраста. </w:t>
      </w:r>
      <w:r w:rsidR="00754ABA" w:rsidRPr="00754ABA">
        <w:t xml:space="preserve">Инфекция </w:t>
      </w:r>
      <w:r w:rsidR="00754ABA" w:rsidRPr="009E4AFB">
        <w:rPr>
          <w:i/>
          <w:iCs/>
        </w:rPr>
        <w:t xml:space="preserve">C. </w:t>
      </w:r>
      <w:r w:rsidR="00B02F9C">
        <w:rPr>
          <w:i/>
          <w:iCs/>
          <w:lang w:val="en-US"/>
        </w:rPr>
        <w:t>d</w:t>
      </w:r>
      <w:r w:rsidR="00754ABA" w:rsidRPr="009E4AFB">
        <w:rPr>
          <w:i/>
          <w:iCs/>
        </w:rPr>
        <w:t>ifficile</w:t>
      </w:r>
      <w:r w:rsidR="00754ABA" w:rsidRPr="00754ABA">
        <w:t xml:space="preserve"> может вызывать угрожающие жизни симптомы, такие как интенсивная диарея и обезвоживание</w:t>
      </w:r>
      <w:r w:rsidR="00C76990">
        <w:t xml:space="preserve">, что </w:t>
      </w:r>
      <w:r w:rsidR="00C76990" w:rsidRPr="00C76990">
        <w:t>делает разработку теста для ранней диагностики важной задачей.</w:t>
      </w:r>
    </w:p>
    <w:p w14:paraId="1606C694" w14:textId="11C6ADD0" w:rsidR="00597FAE" w:rsidRDefault="00C76990" w:rsidP="009112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Cs/>
        </w:rPr>
      </w:pPr>
      <w:r w:rsidRPr="00C76990">
        <w:rPr>
          <w:iCs/>
        </w:rPr>
        <w:t>Эталонным методом диагностики этой бактерии считается посев из кала на токсикогенность из-за высокой чувствительности и специфичности, но он занимает 2-5 дней.</w:t>
      </w:r>
      <w:r>
        <w:rPr>
          <w:iCs/>
        </w:rPr>
        <w:t xml:space="preserve"> </w:t>
      </w:r>
      <w:r w:rsidRPr="00C76990">
        <w:rPr>
          <w:iCs/>
        </w:rPr>
        <w:t>Иммуноферментный анализ также широко применяется, обладая хорошей чувствительностью и специфичностью, с получением результата за 2-6 часов.</w:t>
      </w:r>
      <w:r>
        <w:rPr>
          <w:iCs/>
        </w:rPr>
        <w:t xml:space="preserve"> </w:t>
      </w:r>
      <w:r w:rsidR="00A11BB0">
        <w:rPr>
          <w:iCs/>
        </w:rPr>
        <w:t xml:space="preserve">На фоне </w:t>
      </w:r>
      <w:r>
        <w:rPr>
          <w:iCs/>
        </w:rPr>
        <w:t xml:space="preserve">этих </w:t>
      </w:r>
      <w:r w:rsidR="00017314">
        <w:rPr>
          <w:iCs/>
        </w:rPr>
        <w:t>методов</w:t>
      </w:r>
      <w:r w:rsidR="00A11BB0">
        <w:rPr>
          <w:iCs/>
        </w:rPr>
        <w:t xml:space="preserve"> иммунохроматографический </w:t>
      </w:r>
      <w:r w:rsidR="00017314">
        <w:rPr>
          <w:iCs/>
        </w:rPr>
        <w:t xml:space="preserve">анализ </w:t>
      </w:r>
      <w:r>
        <w:rPr>
          <w:iCs/>
        </w:rPr>
        <w:t xml:space="preserve">быстрее </w:t>
      </w:r>
      <w:r w:rsidR="00A11BB0">
        <w:rPr>
          <w:iCs/>
        </w:rPr>
        <w:t>(10 – 15 минут) и про</w:t>
      </w:r>
      <w:r>
        <w:rPr>
          <w:iCs/>
        </w:rPr>
        <w:t>ще</w:t>
      </w:r>
      <w:r w:rsidR="00A11BB0">
        <w:rPr>
          <w:iCs/>
        </w:rPr>
        <w:t xml:space="preserve"> в исполнении.</w:t>
      </w:r>
    </w:p>
    <w:p w14:paraId="7EBF3625" w14:textId="614E3BBE" w:rsidR="00466E03" w:rsidRDefault="00B31FA9" w:rsidP="009112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Цель исследования – разработка иммунохроматографической тест – системы для </w:t>
      </w:r>
      <w:r w:rsidR="00017314">
        <w:t xml:space="preserve">диагностики </w:t>
      </w:r>
      <w:r w:rsidR="00A63F27" w:rsidRPr="009112A0">
        <w:rPr>
          <w:i/>
          <w:iCs/>
        </w:rPr>
        <w:t xml:space="preserve">Clostridioides </w:t>
      </w:r>
      <w:r w:rsidR="00B02F9C">
        <w:rPr>
          <w:i/>
          <w:iCs/>
          <w:lang w:val="en-US"/>
        </w:rPr>
        <w:t>d</w:t>
      </w:r>
      <w:r w:rsidRPr="009112A0">
        <w:rPr>
          <w:i/>
          <w:iCs/>
        </w:rPr>
        <w:t>ifficile</w:t>
      </w:r>
      <w:r>
        <w:rPr>
          <w:i/>
          <w:iCs/>
        </w:rPr>
        <w:t xml:space="preserve"> </w:t>
      </w:r>
      <w:r>
        <w:t xml:space="preserve">в кале. Определяемыми антигенами выбраны токсины А и Б. </w:t>
      </w:r>
    </w:p>
    <w:p w14:paraId="229BFAC1" w14:textId="71C76369" w:rsidR="007A5A9E" w:rsidRDefault="00B31FA9" w:rsidP="007A5A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Метками для анти</w:t>
      </w:r>
      <w:r w:rsidR="00FA647F">
        <w:t xml:space="preserve">тел </w:t>
      </w:r>
      <w:r w:rsidR="00017314">
        <w:t xml:space="preserve">выбраны карбоксилированные </w:t>
      </w:r>
      <w:r w:rsidR="00FA647F">
        <w:t>латексные частицы</w:t>
      </w:r>
      <w:r w:rsidR="00B02B9D">
        <w:t>.</w:t>
      </w:r>
      <w:r w:rsidR="00FA647F">
        <w:t xml:space="preserve"> </w:t>
      </w:r>
      <w:r w:rsidR="00B02B9D">
        <w:t xml:space="preserve">Активация </w:t>
      </w:r>
      <w:r w:rsidR="00017314">
        <w:t xml:space="preserve">активной </w:t>
      </w:r>
      <w:r w:rsidR="00B02B9D">
        <w:t xml:space="preserve">группы </w:t>
      </w:r>
      <w:r w:rsidR="00B70DAD">
        <w:t>на поверхности</w:t>
      </w:r>
      <w:r w:rsidR="00B02B9D">
        <w:t xml:space="preserve"> латекс</w:t>
      </w:r>
      <w:r w:rsidR="00B70DAD">
        <w:t>ных частиц позволяет образовывать им ковалентной связь</w:t>
      </w:r>
      <w:r w:rsidR="00B02B9D">
        <w:t xml:space="preserve"> с антителами</w:t>
      </w:r>
      <w:r w:rsidR="003D5DDD">
        <w:t xml:space="preserve">. Такой метод связывания гарантирует лучшую фиксацию антител, в отличии от </w:t>
      </w:r>
      <w:r w:rsidR="00B02B9D">
        <w:t xml:space="preserve">физической адсорбции. В данной тест – системе были подобраны латексы разных цветов для упрощения визуализации результата. </w:t>
      </w:r>
      <w:r w:rsidR="00A63F27">
        <w:t xml:space="preserve">На рабочей мембране было подобрано оптимальное расположение тестовых зон для каждого из токсинов. </w:t>
      </w:r>
    </w:p>
    <w:p w14:paraId="311F2D7F" w14:textId="03595A11" w:rsidR="00017314" w:rsidRDefault="00017314" w:rsidP="00A63F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Проведен скрининг монокл</w:t>
      </w:r>
      <w:r w:rsidR="00D75560">
        <w:t>о</w:t>
      </w:r>
      <w:r>
        <w:t>нальных антител и последующая их характеристика методами иммуноферментного анализа и электрофореза. По результатам эксперимента были выбраны антитела</w:t>
      </w:r>
      <w:r>
        <w:rPr>
          <w:iCs/>
        </w:rPr>
        <w:t>, которые обладали лучшей активностью и чистотой.</w:t>
      </w:r>
    </w:p>
    <w:p w14:paraId="7A70F851" w14:textId="3B7252D2" w:rsidR="00A63F27" w:rsidRDefault="007A5A9E" w:rsidP="00A63F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В ходе исследования оптимизирован мультимембранный композит, а именно мембраны и реагенты, наносимые на них. В качестве исследуемого образца используется кал, под который была подобрана стекловолоконная мембрана </w:t>
      </w:r>
      <w:r>
        <w:rPr>
          <w:lang w:val="en-US"/>
        </w:rPr>
        <w:t>SB</w:t>
      </w:r>
      <w:r>
        <w:t>06</w:t>
      </w:r>
      <w:r w:rsidR="00017314">
        <w:t xml:space="preserve"> («</w:t>
      </w:r>
      <w:r w:rsidR="00017314">
        <w:rPr>
          <w:lang w:val="en-US"/>
        </w:rPr>
        <w:t>Kinbio</w:t>
      </w:r>
      <w:r w:rsidR="00017314">
        <w:t>», Китай)</w:t>
      </w:r>
      <w:r>
        <w:t xml:space="preserve">. Для рабочей зоны выбрали нитроцеллюлозную мембрану </w:t>
      </w:r>
      <w:r>
        <w:rPr>
          <w:lang w:val="en-US"/>
        </w:rPr>
        <w:t>CN</w:t>
      </w:r>
      <w:r w:rsidRPr="007A5A9E">
        <w:t>95</w:t>
      </w:r>
      <w:r w:rsidR="00017314">
        <w:t xml:space="preserve"> («</w:t>
      </w:r>
      <w:r w:rsidR="00017314">
        <w:rPr>
          <w:lang w:val="en-US"/>
        </w:rPr>
        <w:t>Sartorius</w:t>
      </w:r>
      <w:r w:rsidR="00017314">
        <w:t>», Германия)</w:t>
      </w:r>
      <w:r w:rsidRPr="007A5A9E">
        <w:t xml:space="preserve">, </w:t>
      </w:r>
      <w:r>
        <w:t xml:space="preserve">которая обеспечивает оптимальную скорость потока и </w:t>
      </w:r>
      <w:r w:rsidR="00A63F27">
        <w:t>удерживает антитела.</w:t>
      </w:r>
    </w:p>
    <w:p w14:paraId="72F8A1F0" w14:textId="77777777" w:rsidR="00781ED9" w:rsidRDefault="0015475C" w:rsidP="00781E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rPr>
          <w:iCs/>
        </w:rPr>
        <w:t>Для образца был подобран рабочий буфер. Основа подбиралась из</w:t>
      </w:r>
      <w:r w:rsidRPr="0015475C">
        <w:rPr>
          <w:iCs/>
        </w:rPr>
        <w:t xml:space="preserve"> </w:t>
      </w:r>
      <w:r>
        <w:rPr>
          <w:iCs/>
        </w:rPr>
        <w:t xml:space="preserve">фосфатного, боратного и </w:t>
      </w:r>
      <w:r w:rsidR="00915A0B">
        <w:rPr>
          <w:iCs/>
          <w:lang w:val="en-US"/>
        </w:rPr>
        <w:t>Tris</w:t>
      </w:r>
      <w:r w:rsidR="00915A0B" w:rsidRPr="00915A0B">
        <w:rPr>
          <w:iCs/>
        </w:rPr>
        <w:t>/</w:t>
      </w:r>
      <w:r w:rsidR="00915A0B">
        <w:rPr>
          <w:iCs/>
          <w:lang w:val="en-US"/>
        </w:rPr>
        <w:t>HCl</w:t>
      </w:r>
      <w:r w:rsidR="00915A0B" w:rsidRPr="00915A0B">
        <w:rPr>
          <w:iCs/>
        </w:rPr>
        <w:t xml:space="preserve"> </w:t>
      </w:r>
      <w:r>
        <w:rPr>
          <w:iCs/>
        </w:rPr>
        <w:t xml:space="preserve">буферов. </w:t>
      </w:r>
      <w:r w:rsidR="003D4437">
        <w:rPr>
          <w:iCs/>
        </w:rPr>
        <w:t>По итогам шахматного теста был выбран 100 мМ фосфатный буфер. Далее проводился по</w:t>
      </w:r>
      <w:r w:rsidR="00D75560">
        <w:rPr>
          <w:iCs/>
        </w:rPr>
        <w:t>д</w:t>
      </w:r>
      <w:r w:rsidR="003D4437">
        <w:rPr>
          <w:iCs/>
        </w:rPr>
        <w:t xml:space="preserve">бор добавок, в результате которого положительно повлияли на сигнал и чувствительность </w:t>
      </w:r>
      <w:r w:rsidR="003D4437" w:rsidRPr="00BB6018">
        <w:t>0,25</w:t>
      </w:r>
      <w:r w:rsidR="003D4437">
        <w:t xml:space="preserve"> </w:t>
      </w:r>
      <w:r w:rsidR="003D4437" w:rsidRPr="00BB6018">
        <w:t xml:space="preserve">% </w:t>
      </w:r>
      <w:r w:rsidR="003D4437" w:rsidRPr="00BB6018">
        <w:rPr>
          <w:lang w:val="en-US"/>
        </w:rPr>
        <w:t>TritonX</w:t>
      </w:r>
      <w:r w:rsidR="003D4437" w:rsidRPr="00BB6018">
        <w:t xml:space="preserve"> 100</w:t>
      </w:r>
      <w:r w:rsidR="003D4437">
        <w:t xml:space="preserve"> и 1 % </w:t>
      </w:r>
      <w:r w:rsidR="003D4437">
        <w:rPr>
          <w:lang w:val="en-US"/>
        </w:rPr>
        <w:t>BSA</w:t>
      </w:r>
      <w:r w:rsidR="003D4437" w:rsidRPr="003D4437">
        <w:t xml:space="preserve">. </w:t>
      </w:r>
    </w:p>
    <w:p w14:paraId="4CB47E8B" w14:textId="4A4676B6" w:rsidR="00597FAE" w:rsidRPr="00A11BB0" w:rsidRDefault="00781ED9" w:rsidP="00781E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Предел обнаружения для токсина </w:t>
      </w:r>
      <w:r>
        <w:rPr>
          <w:lang w:val="en-US"/>
        </w:rPr>
        <w:t>A</w:t>
      </w:r>
      <w:r w:rsidRPr="00781ED9">
        <w:t xml:space="preserve"> </w:t>
      </w:r>
      <w:r>
        <w:t xml:space="preserve">и </w:t>
      </w:r>
      <w:r>
        <w:rPr>
          <w:lang w:val="en-US"/>
        </w:rPr>
        <w:t>B</w:t>
      </w:r>
      <w:r w:rsidRPr="00781ED9">
        <w:t xml:space="preserve"> </w:t>
      </w:r>
      <w:r>
        <w:t xml:space="preserve">составил </w:t>
      </w:r>
      <w:r w:rsidR="0028480D" w:rsidRPr="0028480D">
        <w:t>12</w:t>
      </w:r>
      <w:r>
        <w:t xml:space="preserve"> и </w:t>
      </w:r>
      <w:r w:rsidR="0028480D" w:rsidRPr="0028480D">
        <w:t>0,</w:t>
      </w:r>
      <w:r w:rsidR="0028480D" w:rsidRPr="00B02F9C">
        <w:t>3</w:t>
      </w:r>
      <w:r>
        <w:t xml:space="preserve"> нг</w:t>
      </w:r>
      <w:r w:rsidRPr="00781ED9">
        <w:t>/</w:t>
      </w:r>
      <w:r>
        <w:t xml:space="preserve">мл соответственно. </w:t>
      </w:r>
      <w:r w:rsidR="00B70DAD">
        <w:t xml:space="preserve">Тест показывает результат в течение 10 минут, что позволяет оперативно получать результаты и облегчает дальнейшую диагностику и лечение заболеваний, ассоциированных с </w:t>
      </w:r>
      <w:r w:rsidR="00B70DAD" w:rsidRPr="00ED1F71">
        <w:rPr>
          <w:i/>
          <w:iCs/>
          <w:lang w:val="en-US"/>
        </w:rPr>
        <w:t>C</w:t>
      </w:r>
      <w:r w:rsidR="00B70DAD" w:rsidRPr="00ED1F71">
        <w:rPr>
          <w:i/>
          <w:iCs/>
        </w:rPr>
        <w:t>.</w:t>
      </w:r>
      <w:r w:rsidR="00B70DAD" w:rsidRPr="009112A0">
        <w:rPr>
          <w:i/>
          <w:iCs/>
        </w:rPr>
        <w:t xml:space="preserve"> </w:t>
      </w:r>
      <w:r w:rsidR="00B02F9C">
        <w:rPr>
          <w:i/>
          <w:iCs/>
          <w:lang w:val="en-US"/>
        </w:rPr>
        <w:t>d</w:t>
      </w:r>
      <w:r w:rsidR="00B70DAD" w:rsidRPr="009112A0">
        <w:rPr>
          <w:i/>
          <w:iCs/>
        </w:rPr>
        <w:t>ifficile</w:t>
      </w:r>
      <w:r w:rsidR="00B70DAD">
        <w:rPr>
          <w:iCs/>
        </w:rPr>
        <w:t>. Благодаря подбору разноцветных латексов визуализация результатов стала более наглядной, что очень важно для мультисистем.</w:t>
      </w:r>
    </w:p>
    <w:sectPr w:rsidR="00597FAE" w:rsidRPr="00A11BB0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F5C6E" w14:textId="77777777" w:rsidR="00FD401F" w:rsidRDefault="00FD401F" w:rsidP="00781ED9">
      <w:r>
        <w:separator/>
      </w:r>
    </w:p>
  </w:endnote>
  <w:endnote w:type="continuationSeparator" w:id="0">
    <w:p w14:paraId="264BB2A4" w14:textId="77777777" w:rsidR="00FD401F" w:rsidRDefault="00FD401F" w:rsidP="00781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22003" w14:textId="77777777" w:rsidR="00FD401F" w:rsidRDefault="00FD401F" w:rsidP="00781ED9">
      <w:r>
        <w:separator/>
      </w:r>
    </w:p>
  </w:footnote>
  <w:footnote w:type="continuationSeparator" w:id="0">
    <w:p w14:paraId="50080238" w14:textId="77777777" w:rsidR="00FD401F" w:rsidRDefault="00FD401F" w:rsidP="00781E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15D76"/>
    <w:rsid w:val="00017314"/>
    <w:rsid w:val="000456AB"/>
    <w:rsid w:val="00063966"/>
    <w:rsid w:val="00075D6E"/>
    <w:rsid w:val="00086081"/>
    <w:rsid w:val="0009449A"/>
    <w:rsid w:val="00094FD0"/>
    <w:rsid w:val="000E334E"/>
    <w:rsid w:val="00101A1C"/>
    <w:rsid w:val="00103657"/>
    <w:rsid w:val="00103C0B"/>
    <w:rsid w:val="00106375"/>
    <w:rsid w:val="00107AA3"/>
    <w:rsid w:val="00116478"/>
    <w:rsid w:val="00130241"/>
    <w:rsid w:val="0015475C"/>
    <w:rsid w:val="001E0E2C"/>
    <w:rsid w:val="001E61C2"/>
    <w:rsid w:val="001F0493"/>
    <w:rsid w:val="0022260A"/>
    <w:rsid w:val="002264EE"/>
    <w:rsid w:val="0023307C"/>
    <w:rsid w:val="002808DD"/>
    <w:rsid w:val="0028480D"/>
    <w:rsid w:val="002F6DAD"/>
    <w:rsid w:val="0031361E"/>
    <w:rsid w:val="003431BF"/>
    <w:rsid w:val="003601F6"/>
    <w:rsid w:val="00391C38"/>
    <w:rsid w:val="003B76D6"/>
    <w:rsid w:val="003D4437"/>
    <w:rsid w:val="003D5DDD"/>
    <w:rsid w:val="003E2601"/>
    <w:rsid w:val="003F4E6B"/>
    <w:rsid w:val="00430468"/>
    <w:rsid w:val="00466E03"/>
    <w:rsid w:val="0047396C"/>
    <w:rsid w:val="004912F4"/>
    <w:rsid w:val="004A121E"/>
    <w:rsid w:val="004A26A3"/>
    <w:rsid w:val="004B71FB"/>
    <w:rsid w:val="004F0EDF"/>
    <w:rsid w:val="005141DB"/>
    <w:rsid w:val="00522BF1"/>
    <w:rsid w:val="00590166"/>
    <w:rsid w:val="005926F6"/>
    <w:rsid w:val="00597FAE"/>
    <w:rsid w:val="005D022B"/>
    <w:rsid w:val="005E5BE9"/>
    <w:rsid w:val="0069427D"/>
    <w:rsid w:val="006A0AF2"/>
    <w:rsid w:val="006A78BD"/>
    <w:rsid w:val="006F7A19"/>
    <w:rsid w:val="007213E1"/>
    <w:rsid w:val="00735843"/>
    <w:rsid w:val="00740719"/>
    <w:rsid w:val="00754ABA"/>
    <w:rsid w:val="00775389"/>
    <w:rsid w:val="00781ED9"/>
    <w:rsid w:val="00797838"/>
    <w:rsid w:val="007A5A9E"/>
    <w:rsid w:val="007C36D8"/>
    <w:rsid w:val="007F2744"/>
    <w:rsid w:val="008931BE"/>
    <w:rsid w:val="00896992"/>
    <w:rsid w:val="008C67E3"/>
    <w:rsid w:val="009112A0"/>
    <w:rsid w:val="00914205"/>
    <w:rsid w:val="00915A0B"/>
    <w:rsid w:val="00921D45"/>
    <w:rsid w:val="009426C0"/>
    <w:rsid w:val="00980A65"/>
    <w:rsid w:val="009A66DB"/>
    <w:rsid w:val="009B2F80"/>
    <w:rsid w:val="009B3300"/>
    <w:rsid w:val="009E4AFB"/>
    <w:rsid w:val="009F3380"/>
    <w:rsid w:val="00A02163"/>
    <w:rsid w:val="00A11BB0"/>
    <w:rsid w:val="00A314FE"/>
    <w:rsid w:val="00A579E4"/>
    <w:rsid w:val="00A63F27"/>
    <w:rsid w:val="00AD7380"/>
    <w:rsid w:val="00B02B9D"/>
    <w:rsid w:val="00B02F9C"/>
    <w:rsid w:val="00B31FA9"/>
    <w:rsid w:val="00B70DAD"/>
    <w:rsid w:val="00BF36F8"/>
    <w:rsid w:val="00BF4622"/>
    <w:rsid w:val="00C76990"/>
    <w:rsid w:val="00C844E2"/>
    <w:rsid w:val="00C9374D"/>
    <w:rsid w:val="00CB7B65"/>
    <w:rsid w:val="00CD00B1"/>
    <w:rsid w:val="00D22306"/>
    <w:rsid w:val="00D42542"/>
    <w:rsid w:val="00D75560"/>
    <w:rsid w:val="00D8121C"/>
    <w:rsid w:val="00DE7D03"/>
    <w:rsid w:val="00E22189"/>
    <w:rsid w:val="00E74069"/>
    <w:rsid w:val="00E81D35"/>
    <w:rsid w:val="00EB1F49"/>
    <w:rsid w:val="00ED1F71"/>
    <w:rsid w:val="00F77896"/>
    <w:rsid w:val="00F8138E"/>
    <w:rsid w:val="00F865B3"/>
    <w:rsid w:val="00FA647F"/>
    <w:rsid w:val="00FB1509"/>
    <w:rsid w:val="00FD401F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81ED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81ED9"/>
    <w:rPr>
      <w:rFonts w:ascii="Segoe UI" w:eastAsia="Times New Roman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781ED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81ED9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781ED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81ED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onmur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701EB2-6C72-4116-9C34-31183580A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2025-03-17T12:08:00Z</dcterms:created>
  <dcterms:modified xsi:type="dcterms:W3CDTF">2025-03-18T12:49:00Z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