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D318AD" w14:textId="34B4A51D" w:rsidR="00AB3732" w:rsidRPr="008627EA" w:rsidRDefault="00AF5F55" w:rsidP="005A1D2C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627EA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Определение кортизола в шерсти </w:t>
      </w:r>
      <w:r w:rsidR="00AC72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домашних </w:t>
      </w:r>
      <w:r w:rsidRPr="00AC7251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коз </w:t>
      </w:r>
      <w:r w:rsidR="00FE477E">
        <w:rPr>
          <w:rFonts w:ascii="Times New Roman" w:hAnsi="Times New Roman" w:cs="Times New Roman"/>
          <w:b/>
          <w:bCs/>
          <w:i/>
          <w:sz w:val="24"/>
          <w:szCs w:val="24"/>
        </w:rPr>
        <w:t>(</w:t>
      </w:r>
      <w:proofErr w:type="spellStart"/>
      <w:r w:rsidR="00AC7251" w:rsidRPr="00AC72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Capra</w:t>
      </w:r>
      <w:proofErr w:type="spellEnd"/>
      <w:r w:rsidR="00AC7251" w:rsidRPr="00AC72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proofErr w:type="spellStart"/>
      <w:r w:rsidR="00AC7251" w:rsidRPr="00AC725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hircus</w:t>
      </w:r>
      <w:proofErr w:type="spellEnd"/>
      <w:r w:rsidR="00FE477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bookmarkStart w:id="0" w:name="_GoBack"/>
      <w:bookmarkEnd w:id="0"/>
    </w:p>
    <w:p w14:paraId="034536FB" w14:textId="5EEBE635" w:rsidR="00AF5F55" w:rsidRPr="00E25A62" w:rsidRDefault="00AF5F55" w:rsidP="005A1D2C">
      <w:pPr>
        <w:spacing w:after="0"/>
        <w:jc w:val="center"/>
        <w:rPr>
          <w:rFonts w:ascii="Times New Roman" w:hAnsi="Times New Roman" w:cs="Times New Roman"/>
          <w:b/>
          <w:bCs/>
          <w:i/>
          <w:sz w:val="24"/>
          <w:szCs w:val="24"/>
          <w:vertAlign w:val="superscript"/>
        </w:rPr>
      </w:pPr>
      <w:r w:rsidRPr="00E25A62">
        <w:rPr>
          <w:rFonts w:ascii="Times New Roman" w:hAnsi="Times New Roman" w:cs="Times New Roman"/>
          <w:b/>
          <w:bCs/>
          <w:i/>
          <w:sz w:val="24"/>
          <w:szCs w:val="24"/>
        </w:rPr>
        <w:t>Титов Е.А.</w:t>
      </w:r>
      <w:r w:rsidR="00E25A62" w:rsidRPr="00E25A62">
        <w:rPr>
          <w:rFonts w:ascii="Times New Roman" w:hAnsi="Times New Roman" w:cs="Times New Roman"/>
          <w:b/>
          <w:bCs/>
          <w:i/>
          <w:szCs w:val="21"/>
          <w:vertAlign w:val="superscript"/>
        </w:rPr>
        <w:t xml:space="preserve"> 1</w:t>
      </w:r>
      <w:r w:rsidRPr="00E25A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E25A62" w:rsidRPr="00E25A62">
        <w:rPr>
          <w:rFonts w:ascii="Times New Roman" w:hAnsi="Times New Roman" w:cs="Times New Roman"/>
          <w:b/>
          <w:bCs/>
          <w:i/>
          <w:szCs w:val="21"/>
        </w:rPr>
        <w:t>Саушкин Н.Ю.</w:t>
      </w:r>
      <w:r w:rsidR="00E25A62" w:rsidRPr="00E25A62">
        <w:rPr>
          <w:rFonts w:ascii="Times New Roman" w:hAnsi="Times New Roman" w:cs="Times New Roman"/>
          <w:b/>
          <w:bCs/>
          <w:i/>
          <w:szCs w:val="21"/>
          <w:vertAlign w:val="superscript"/>
        </w:rPr>
        <w:t xml:space="preserve"> 1</w:t>
      </w:r>
      <w:r w:rsidR="00E25A62" w:rsidRPr="00E25A62">
        <w:rPr>
          <w:rFonts w:ascii="Times New Roman" w:hAnsi="Times New Roman" w:cs="Times New Roman"/>
          <w:b/>
          <w:bCs/>
          <w:i/>
          <w:szCs w:val="21"/>
        </w:rPr>
        <w:t xml:space="preserve">, </w:t>
      </w:r>
      <w:r w:rsidR="00DE0FDC" w:rsidRPr="00E25A62">
        <w:rPr>
          <w:rFonts w:ascii="Times New Roman" w:hAnsi="Times New Roman" w:cs="Times New Roman"/>
          <w:b/>
          <w:bCs/>
          <w:i/>
          <w:sz w:val="24"/>
          <w:szCs w:val="24"/>
        </w:rPr>
        <w:t>Самсонова Ж.В.</w:t>
      </w:r>
      <w:r w:rsidR="00DE0FDC" w:rsidRPr="00E25A62">
        <w:rPr>
          <w:rFonts w:ascii="Times New Roman" w:hAnsi="Times New Roman" w:cs="Times New Roman"/>
          <w:b/>
          <w:bCs/>
          <w:i/>
          <w:szCs w:val="21"/>
          <w:vertAlign w:val="superscript"/>
        </w:rPr>
        <w:t xml:space="preserve"> 1</w:t>
      </w:r>
      <w:r w:rsidR="00DE0FDC" w:rsidRPr="00E25A62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, </w:t>
      </w:r>
      <w:r w:rsidR="00E25A62" w:rsidRPr="00E25A62">
        <w:rPr>
          <w:rFonts w:ascii="Times New Roman" w:hAnsi="Times New Roman" w:cs="Times New Roman"/>
          <w:b/>
          <w:bCs/>
          <w:i/>
          <w:szCs w:val="21"/>
        </w:rPr>
        <w:t>Пискунов А.К.</w:t>
      </w:r>
      <w:r w:rsidR="00E25A62" w:rsidRPr="00E25A62">
        <w:rPr>
          <w:rFonts w:ascii="Times New Roman" w:hAnsi="Times New Roman" w:cs="Times New Roman"/>
          <w:b/>
          <w:bCs/>
          <w:i/>
          <w:szCs w:val="21"/>
          <w:vertAlign w:val="superscript"/>
        </w:rPr>
        <w:t>2</w:t>
      </w:r>
    </w:p>
    <w:p w14:paraId="4856DB1C" w14:textId="64A965C3" w:rsidR="00AF5F55" w:rsidRPr="008627EA" w:rsidRDefault="00AF5F55" w:rsidP="005A1D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627EA">
        <w:rPr>
          <w:rFonts w:ascii="Times New Roman" w:hAnsi="Times New Roman" w:cs="Times New Roman"/>
          <w:i/>
          <w:sz w:val="24"/>
          <w:szCs w:val="24"/>
        </w:rPr>
        <w:t>Студент, 6 курс специалитета</w:t>
      </w:r>
    </w:p>
    <w:p w14:paraId="0583BDD0" w14:textId="76164CC0" w:rsidR="00E25A62" w:rsidRDefault="00E25A62" w:rsidP="005A1D2C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vertAlign w:val="superscript"/>
        </w:rPr>
        <w:t>1</w:t>
      </w:r>
      <w:r w:rsidR="00AF5F55" w:rsidRPr="008627EA">
        <w:rPr>
          <w:rFonts w:ascii="Times New Roman" w:hAnsi="Times New Roman" w:cs="Times New Roman"/>
          <w:i/>
          <w:sz w:val="24"/>
          <w:szCs w:val="24"/>
        </w:rPr>
        <w:t xml:space="preserve">Московский государственный </w:t>
      </w:r>
      <w:r w:rsidR="00AF5F55" w:rsidRPr="008627E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университет имени М.В. Ломоносова, </w:t>
      </w:r>
      <w:r w:rsidR="00AF5F55" w:rsidRPr="008627EA">
        <w:rPr>
          <w:rFonts w:ascii="Times New Roman" w:hAnsi="Times New Roman" w:cs="Times New Roman"/>
          <w:i/>
          <w:color w:val="000000"/>
          <w:sz w:val="24"/>
          <w:szCs w:val="24"/>
        </w:rPr>
        <w:br/>
        <w:t>химический факультет, Москва, Россия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</w:p>
    <w:p w14:paraId="227A25E1" w14:textId="47E06B95" w:rsidR="00E25A62" w:rsidRPr="00AC7251" w:rsidRDefault="00E25A62" w:rsidP="005A1D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C725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AC7251">
        <w:rPr>
          <w:rFonts w:ascii="Times New Roman" w:hAnsi="Times New Roman" w:cs="Times New Roman"/>
          <w:i/>
          <w:sz w:val="24"/>
          <w:szCs w:val="24"/>
        </w:rPr>
        <w:t>Институт общей генетики им. Н.И. Вавилова РАН, Москва, Россия</w:t>
      </w:r>
    </w:p>
    <w:p w14:paraId="037530F5" w14:textId="1A287CAC" w:rsidR="00AF5F55" w:rsidRPr="008627EA" w:rsidRDefault="00AF5F55" w:rsidP="005A1D2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627EA">
        <w:rPr>
          <w:rFonts w:ascii="Times New Roman" w:hAnsi="Times New Roman" w:cs="Times New Roman"/>
          <w:i/>
          <w:color w:val="000000"/>
          <w:sz w:val="24"/>
          <w:szCs w:val="24"/>
          <w:lang w:val="en-US"/>
        </w:rPr>
        <w:t xml:space="preserve">E-mail: </w:t>
      </w:r>
      <w:r w:rsidRPr="00764ECB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e</w:t>
      </w:r>
      <w:r w:rsidR="008627EA" w:rsidRPr="00764ECB">
        <w:rPr>
          <w:rFonts w:ascii="Times New Roman" w:hAnsi="Times New Roman" w:cs="Times New Roman"/>
          <w:i/>
          <w:color w:val="000000"/>
          <w:sz w:val="24"/>
          <w:szCs w:val="24"/>
          <w:u w:val="single"/>
          <w:lang w:val="en-US"/>
        </w:rPr>
        <w:t>gor.titov@chemistry.msu.ru</w:t>
      </w:r>
    </w:p>
    <w:p w14:paraId="083E663F" w14:textId="1C6ED73F" w:rsidR="00B8380B" w:rsidRPr="008627EA" w:rsidRDefault="00B8380B" w:rsidP="00DE0FD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Кортизол — ключевой гормон, регулирующий множество физиологических функций и повышающий выживаемость</w:t>
      </w:r>
      <w:r w:rsidR="00936755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живых организмов</w:t>
      </w:r>
      <w:r w:rsidR="001A5644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 стрессовых ситуациях.</w:t>
      </w:r>
      <w:r w:rsidR="001A5644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</w:t>
      </w:r>
      <w:r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ефицит</w:t>
      </w:r>
      <w:r w:rsidR="001A5644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гормона</w:t>
      </w:r>
      <w:r w:rsidR="00936755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у человека</w:t>
      </w:r>
      <w:r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проявляется усталостью, депрессией и другими симптомами</w:t>
      </w:r>
      <w:r w:rsidR="001A5644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а и</w:t>
      </w:r>
      <w:r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збыток кортизола приводит к хроническому стрессу</w:t>
      </w:r>
      <w:r w:rsidR="001A5644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что в сво</w:t>
      </w:r>
      <w:r w:rsidR="00960920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ю</w:t>
      </w:r>
      <w:r w:rsidR="001A5644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очередь </w:t>
      </w:r>
      <w:r w:rsidR="002253B8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может привести к ухудшению здоровья</w:t>
      </w:r>
      <w:r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936755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</w:t>
      </w:r>
      <w:r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оскольку у животных кортизол оказывает аналогичное воздействие, его определение важно для оценки </w:t>
      </w:r>
      <w:r w:rsidR="00936755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текущего</w:t>
      </w:r>
      <w:r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состояния</w:t>
      </w:r>
      <w:r w:rsidR="00936755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, а именно</w:t>
      </w:r>
      <w:r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влияния стресса на здоровье, продуктивност</w:t>
      </w:r>
      <w:r w:rsidR="003E628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качеств</w:t>
      </w:r>
      <w:r w:rsidR="003E628F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</w:t>
      </w:r>
      <w:r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получаемой продукции.</w:t>
      </w:r>
      <w:r w:rsidR="00527A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Использование</w:t>
      </w:r>
      <w:r w:rsidR="005A1D2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27A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волос (шерсти) является неинвазивным способом</w:t>
      </w:r>
      <w:r w:rsidR="007A6CE5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получения</w:t>
      </w:r>
      <w:r w:rsidR="00527A36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биологической пробы для анализа. При этом, уровень кортизола в волосах используют как </w:t>
      </w:r>
      <w:r w:rsidR="005A1D2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маркер хронического стресса.</w:t>
      </w:r>
    </w:p>
    <w:p w14:paraId="61A4361E" w14:textId="0BDCBB5E" w:rsidR="00B8380B" w:rsidRPr="008627EA" w:rsidRDefault="00B8380B" w:rsidP="00DE0FDC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Разработана методика пробоподготовки образцов шерсти коз с использованием стекловолоконных мембран для определения кортизола. </w:t>
      </w:r>
      <w:r w:rsidR="005950C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</w:t>
      </w:r>
      <w:r w:rsidR="00936755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текловолоконн</w:t>
      </w:r>
      <w:r w:rsidR="005950C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ая</w:t>
      </w:r>
      <w:r w:rsidR="00936755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5950C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впитывающая </w:t>
      </w:r>
      <w:r w:rsidR="00936755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мембран</w:t>
      </w:r>
      <w:r w:rsidR="005950C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 в виде узкой полоски (25</w:t>
      </w:r>
      <w:r w:rsidR="005950C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val="en-US" w:eastAsia="ru-RU"/>
        </w:rPr>
        <w:t>x</w:t>
      </w:r>
      <w:r w:rsidR="005950C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5 мм) была использована для концентрирования экстракта шерсти.</w:t>
      </w:r>
      <w:r w:rsid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Высушивание экстракта на стекловолоконной мембране позволяло</w:t>
      </w:r>
      <w:r w:rsidR="005950C8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проводить концентрирование образца при комнатной температуре без </w:t>
      </w:r>
      <w:r w:rsidR="00936755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доп</w:t>
      </w:r>
      <w:r w:rsid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олнительного</w:t>
      </w:r>
      <w:r w:rsidR="00936755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нагрева</w:t>
      </w:r>
      <w:r w:rsid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.</w:t>
      </w:r>
      <w:r w:rsidR="00936755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3128D0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Распределение аналита на мембране </w:t>
      </w:r>
      <w:r w:rsid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при данном методе концентрирования </w:t>
      </w:r>
      <w:r w:rsidR="003128D0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исследовали в модельном эксперименте с использованием красителя тартразина. </w:t>
      </w:r>
      <w:r w:rsidRP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Оптимизаци</w:t>
      </w:r>
      <w:r w:rsidR="003128D0" w:rsidRP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ю</w:t>
      </w:r>
      <w:r w:rsidR="001A5644" w:rsidRP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P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экстракции кортизола </w:t>
      </w:r>
      <w:r w:rsidR="003128D0" w:rsidRP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из шерсти коз </w:t>
      </w:r>
      <w:r w:rsidRP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органическим растворителем проводил</w:t>
      </w:r>
      <w:r w:rsidR="003128D0" w:rsidRP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</w:t>
      </w:r>
      <w:r w:rsidRP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путем </w:t>
      </w:r>
      <w:r w:rsidR="003128D0" w:rsidRP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выбора</w:t>
      </w:r>
      <w:r w:rsidR="001A5644" w:rsidRP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экстрагента,</w:t>
      </w:r>
      <w:r w:rsidRP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оптимальной температуры и времени экстракции.</w:t>
      </w:r>
    </w:p>
    <w:p w14:paraId="6C12687B" w14:textId="039E68B2" w:rsidR="00527A36" w:rsidRPr="00C71B35" w:rsidRDefault="00C71B35" w:rsidP="00527A36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1BF9F14" wp14:editId="18CAF3EB">
            <wp:simplePos x="0" y="0"/>
            <wp:positionH relativeFrom="margin">
              <wp:posOffset>5715</wp:posOffset>
            </wp:positionH>
            <wp:positionV relativeFrom="paragraph">
              <wp:posOffset>1657985</wp:posOffset>
            </wp:positionV>
            <wp:extent cx="5791200" cy="2279650"/>
            <wp:effectExtent l="0" t="0" r="0" b="6350"/>
            <wp:wrapTopAndBottom/>
            <wp:docPr id="1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id="{E80C964E-969E-4D4E-B329-7B91155B48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8D0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С использованием</w:t>
      </w:r>
      <w:r w:rsidR="00B8380B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оптимиз</w:t>
      </w:r>
      <w:r w:rsidR="003128D0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ированной</w:t>
      </w:r>
      <w:r w:rsidR="00B8380B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методики </w:t>
      </w:r>
      <w:r w:rsidR="003128D0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экстракции </w:t>
      </w:r>
      <w:r w:rsidR="00B8380B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проведен</w:t>
      </w:r>
      <w:r w:rsid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 определение</w:t>
      </w:r>
      <w:r w:rsidR="00B8380B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345A14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кортизола </w:t>
      </w:r>
      <w:r w:rsid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в </w:t>
      </w:r>
      <w:r w:rsidR="00B8380B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80</w:t>
      </w:r>
      <w:r w:rsid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-ти</w:t>
      </w:r>
      <w:r w:rsidR="00B8380B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образц</w:t>
      </w:r>
      <w:r w:rsid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ах</w:t>
      </w:r>
      <w:r w:rsidR="00B8380B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шерсти и 38</w:t>
      </w:r>
      <w:r w:rsid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-ми</w:t>
      </w:r>
      <w:r w:rsidR="00B8380B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образц</w:t>
      </w:r>
      <w:r w:rsid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ах</w:t>
      </w:r>
      <w:r w:rsidR="00B8380B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плазмы</w:t>
      </w:r>
      <w:r w:rsidR="00C7517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домашних</w:t>
      </w:r>
      <w:r w:rsidR="00B8380B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</w:t>
      </w:r>
      <w:r w:rsidR="00B8380B" w:rsidRPr="00AC725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коз</w:t>
      </w:r>
      <w:r w:rsidR="0039475C" w:rsidRPr="00AC725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(</w:t>
      </w:r>
      <w:proofErr w:type="spellStart"/>
      <w:r w:rsidR="00C75177" w:rsidRPr="00AC7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Capra</w:t>
      </w:r>
      <w:proofErr w:type="spellEnd"/>
      <w:r w:rsidR="00C75177" w:rsidRPr="00AC7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C75177" w:rsidRPr="00AC72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hircus</w:t>
      </w:r>
      <w:proofErr w:type="spellEnd"/>
      <w:r w:rsidR="0039475C" w:rsidRPr="00AC7251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)</w:t>
      </w:r>
      <w:r w:rsidR="00B8380B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из </w:t>
      </w:r>
      <w:r w:rsidR="003128D0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Московской области</w:t>
      </w:r>
      <w:r w:rsidR="00B8380B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и горного Урала</w:t>
      </w:r>
      <w:r w:rsidR="00345A14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методом иммуноферментного анализа</w:t>
      </w:r>
      <w:r w:rsidR="00B8380B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. </w:t>
      </w:r>
      <w:r w:rsidR="005A1D2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Выявленные к</w:t>
      </w:r>
      <w:r w:rsidR="009200D6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онцентрации кортизола варьировались</w:t>
      </w:r>
      <w:r w:rsidR="005A1D2C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в диапазоне</w:t>
      </w:r>
      <w:r w:rsidR="009200D6" w:rsidRPr="008627EA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 xml:space="preserve"> от 6,5 до 174,3 пг/мг в шерсти и от 7,3 до 374,1 нг/мл в плазме. </w:t>
      </w:r>
      <w:r w:rsidR="00E30C14" w:rsidRPr="00C71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Статистический анализ полученных данных проводил</w:t>
      </w:r>
      <w:r w:rsidR="003128D0" w:rsidRPr="00C71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</w:t>
      </w:r>
      <w:r w:rsidR="00E30C14" w:rsidRPr="00C71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 учетом различных биологических факторов</w:t>
      </w:r>
      <w:r w:rsidR="009200D6" w:rsidRPr="00C71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  <w:r w:rsidR="00E30C14" w:rsidRPr="00C71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включа</w:t>
      </w:r>
      <w:r w:rsidR="009200D6" w:rsidRPr="00C71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я</w:t>
      </w:r>
      <w:r w:rsidR="00E30C14" w:rsidRPr="00C71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сравнение уровней кортизола в плазме крови и шерсти коз</w:t>
      </w:r>
      <w:r w:rsidR="00AC7251" w:rsidRPr="00C71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(Рис.1)</w:t>
      </w:r>
      <w:r w:rsidR="00E30C14" w:rsidRPr="00C71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. </w:t>
      </w:r>
      <w:r w:rsidR="005A1D2C" w:rsidRPr="00C71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Выявлена</w:t>
      </w:r>
      <w:r w:rsidR="003128D0" w:rsidRPr="00C71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корреляция уровня кортизола с </w:t>
      </w:r>
      <w:r w:rsidR="00527A36" w:rsidRPr="00C71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окрасом</w:t>
      </w:r>
      <w:r w:rsidR="003128D0" w:rsidRPr="00C71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шерсти и </w:t>
      </w:r>
      <w:r w:rsidR="00527A36" w:rsidRPr="00C71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некоторыми поведенческими признаками, которые могут иметь связь со стрессовыми состояниями</w:t>
      </w:r>
      <w:r w:rsidR="003128D0" w:rsidRPr="00C71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9200D6" w:rsidRPr="00C71B3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животных.</w:t>
      </w:r>
    </w:p>
    <w:p w14:paraId="040E65A3" w14:textId="2822B662" w:rsidR="00527A36" w:rsidRDefault="0015720E" w:rsidP="00C71B3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  <w:t>Рис.1 Сравнение уровней кортизола животных в шерсти и плазме</w:t>
      </w:r>
    </w:p>
    <w:p w14:paraId="56BBA15F" w14:textId="77777777" w:rsidR="00C71B35" w:rsidRDefault="00C71B35" w:rsidP="00C71B35">
      <w:pPr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  <w:lang w:eastAsia="ru-RU"/>
        </w:rPr>
      </w:pPr>
    </w:p>
    <w:p w14:paraId="31038A10" w14:textId="772A9632" w:rsidR="00C71B35" w:rsidRDefault="00C71B35" w:rsidP="00C71B35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i/>
          <w:color w:val="000000" w:themeColor="text1"/>
          <w:spacing w:val="2"/>
          <w:sz w:val="24"/>
          <w:szCs w:val="24"/>
          <w:lang w:eastAsia="ru-RU"/>
        </w:rPr>
      </w:pPr>
      <w:r w:rsidRPr="00C71B35">
        <w:rPr>
          <w:rFonts w:ascii="Times New Roman" w:eastAsia="Times New Roman" w:hAnsi="Times New Roman" w:cs="Times New Roman"/>
          <w:i/>
          <w:color w:val="000000" w:themeColor="text1"/>
          <w:spacing w:val="2"/>
          <w:sz w:val="24"/>
          <w:szCs w:val="24"/>
          <w:lang w:eastAsia="ru-RU"/>
        </w:rPr>
        <w:t>Работа выполнена при поддержке РНФ (проект № 22-76-10053).</w:t>
      </w:r>
    </w:p>
    <w:sectPr w:rsidR="00C71B35" w:rsidSect="008627EA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7C"/>
    <w:rsid w:val="00007F9B"/>
    <w:rsid w:val="000E12F8"/>
    <w:rsid w:val="0015720E"/>
    <w:rsid w:val="001A5644"/>
    <w:rsid w:val="001E16A9"/>
    <w:rsid w:val="002253B8"/>
    <w:rsid w:val="003128D0"/>
    <w:rsid w:val="00345A14"/>
    <w:rsid w:val="0039475C"/>
    <w:rsid w:val="003E628F"/>
    <w:rsid w:val="0042796A"/>
    <w:rsid w:val="00527A36"/>
    <w:rsid w:val="00565F54"/>
    <w:rsid w:val="00572242"/>
    <w:rsid w:val="005950C8"/>
    <w:rsid w:val="005A1D2C"/>
    <w:rsid w:val="00633D96"/>
    <w:rsid w:val="00764ECB"/>
    <w:rsid w:val="00784A97"/>
    <w:rsid w:val="007A6CE5"/>
    <w:rsid w:val="00847169"/>
    <w:rsid w:val="008627EA"/>
    <w:rsid w:val="009200D6"/>
    <w:rsid w:val="00936755"/>
    <w:rsid w:val="00960920"/>
    <w:rsid w:val="00A93818"/>
    <w:rsid w:val="00AB3732"/>
    <w:rsid w:val="00AB3C57"/>
    <w:rsid w:val="00AC7251"/>
    <w:rsid w:val="00AF5F55"/>
    <w:rsid w:val="00B8380B"/>
    <w:rsid w:val="00C37B7C"/>
    <w:rsid w:val="00C71B35"/>
    <w:rsid w:val="00C75177"/>
    <w:rsid w:val="00D75FD4"/>
    <w:rsid w:val="00DE0FDC"/>
    <w:rsid w:val="00E25A62"/>
    <w:rsid w:val="00E30C14"/>
    <w:rsid w:val="00EE6201"/>
    <w:rsid w:val="00F969E4"/>
    <w:rsid w:val="00FE0EA2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74575"/>
  <w15:chartTrackingRefBased/>
  <w15:docId w15:val="{4A398A38-B257-49D8-A9A3-BDF024360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84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&#1041;&#1080;&#1086;&#1073;&#1088;&#1072;&#1079;&#1094;&#1099;_&#1082;&#1086;&#1088;&#1090;&#1080;&#1079;&#1086;&#1083;_&#1077;&#1089;&#1090;&#1088;&#1072;&#1076;&#1080;&#1086;&#1083;_&#1090;&#1077;&#1089;&#1090;&#1077;&#1090;&#1077;&#1088;&#1086;&#1085;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513409895815425"/>
          <c:y val="3.5517292933320045E-2"/>
          <c:w val="0.74123199119760685"/>
          <c:h val="0.68765125087212198"/>
        </c:manualLayout>
      </c:layout>
      <c:areaChart>
        <c:grouping val="stacked"/>
        <c:varyColors val="0"/>
        <c:ser>
          <c:idx val="1"/>
          <c:order val="1"/>
          <c:tx>
            <c:strRef>
              <c:f>Лист1!$Y$17</c:f>
              <c:strCache>
                <c:ptCount val="1"/>
                <c:pt idx="0">
                  <c:v>Кортизол в плазме, нг/мл</c:v>
                </c:pt>
              </c:strCache>
            </c:strRef>
          </c:tx>
          <c:spPr>
            <a:solidFill>
              <a:schemeClr val="accent2"/>
            </a:solidFill>
            <a:ln w="25400">
              <a:noFill/>
            </a:ln>
            <a:effectLst/>
          </c:spPr>
          <c:cat>
            <c:numRef>
              <c:f>Лист1!$V$18:$V$45</c:f>
              <c:numCache>
                <c:formatCode>0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Лист1!$Y$18:$Y$45</c:f>
              <c:numCache>
                <c:formatCode>0.00</c:formatCode>
                <c:ptCount val="28"/>
                <c:pt idx="0">
                  <c:v>300.71912500000002</c:v>
                </c:pt>
                <c:pt idx="1">
                  <c:v>42.271124999999998</c:v>
                </c:pt>
                <c:pt idx="2">
                  <c:v>33.313749999999999</c:v>
                </c:pt>
                <c:pt idx="3">
                  <c:v>229.18337500000001</c:v>
                </c:pt>
                <c:pt idx="4">
                  <c:v>18.356999999999999</c:v>
                </c:pt>
                <c:pt idx="5">
                  <c:v>36.743000000000002</c:v>
                </c:pt>
                <c:pt idx="6">
                  <c:v>206.66125</c:v>
                </c:pt>
                <c:pt idx="7">
                  <c:v>251.0385</c:v>
                </c:pt>
                <c:pt idx="8">
                  <c:v>188.86974999999998</c:v>
                </c:pt>
                <c:pt idx="9">
                  <c:v>14.626875</c:v>
                </c:pt>
                <c:pt idx="10">
                  <c:v>13.561124999999999</c:v>
                </c:pt>
                <c:pt idx="11">
                  <c:v>7.2681250000000004</c:v>
                </c:pt>
                <c:pt idx="12">
                  <c:v>355.695875</c:v>
                </c:pt>
                <c:pt idx="13">
                  <c:v>17.624749999999999</c:v>
                </c:pt>
                <c:pt idx="14">
                  <c:v>53.932749999999999</c:v>
                </c:pt>
                <c:pt idx="15">
                  <c:v>84.13624999999999</c:v>
                </c:pt>
                <c:pt idx="16">
                  <c:v>53.711624999999991</c:v>
                </c:pt>
                <c:pt idx="17">
                  <c:v>12.694750000000001</c:v>
                </c:pt>
                <c:pt idx="18">
                  <c:v>55.129000000000005</c:v>
                </c:pt>
                <c:pt idx="19">
                  <c:v>13.742374999999999</c:v>
                </c:pt>
                <c:pt idx="20">
                  <c:v>39.284125000000003</c:v>
                </c:pt>
                <c:pt idx="21">
                  <c:v>16.874374999999997</c:v>
                </c:pt>
                <c:pt idx="22">
                  <c:v>13.727874999999999</c:v>
                </c:pt>
                <c:pt idx="23">
                  <c:v>13.959874999999998</c:v>
                </c:pt>
                <c:pt idx="24">
                  <c:v>8.3664999999999985</c:v>
                </c:pt>
                <c:pt idx="25">
                  <c:v>32.650374999999997</c:v>
                </c:pt>
                <c:pt idx="26">
                  <c:v>172.74937499999999</c:v>
                </c:pt>
                <c:pt idx="27">
                  <c:v>191.80237500000001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F6F-40A2-9970-7E8A4816D7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601454687"/>
        <c:axId val="242173455"/>
      </c:areaChart>
      <c:barChart>
        <c:barDir val="col"/>
        <c:grouping val="clustered"/>
        <c:varyColors val="0"/>
        <c:ser>
          <c:idx val="0"/>
          <c:order val="0"/>
          <c:tx>
            <c:strRef>
              <c:f>Лист1!$W$17</c:f>
              <c:strCache>
                <c:ptCount val="1"/>
                <c:pt idx="0">
                  <c:v>Кортизол в шерсти, пг/мг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Лист1!$V$18:$V$45</c:f>
              <c:numCache>
                <c:formatCode>0</c:formatCode>
                <c:ptCount val="28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  <c:pt idx="7">
                  <c:v>8</c:v>
                </c:pt>
                <c:pt idx="8">
                  <c:v>9</c:v>
                </c:pt>
                <c:pt idx="9">
                  <c:v>10</c:v>
                </c:pt>
                <c:pt idx="10">
                  <c:v>11</c:v>
                </c:pt>
                <c:pt idx="11">
                  <c:v>12</c:v>
                </c:pt>
                <c:pt idx="12">
                  <c:v>13</c:v>
                </c:pt>
                <c:pt idx="13">
                  <c:v>14</c:v>
                </c:pt>
                <c:pt idx="14">
                  <c:v>15</c:v>
                </c:pt>
                <c:pt idx="15">
                  <c:v>16</c:v>
                </c:pt>
                <c:pt idx="16">
                  <c:v>17</c:v>
                </c:pt>
                <c:pt idx="17">
                  <c:v>18</c:v>
                </c:pt>
                <c:pt idx="18">
                  <c:v>19</c:v>
                </c:pt>
                <c:pt idx="19">
                  <c:v>20</c:v>
                </c:pt>
                <c:pt idx="20">
                  <c:v>21</c:v>
                </c:pt>
                <c:pt idx="21">
                  <c:v>22</c:v>
                </c:pt>
                <c:pt idx="22">
                  <c:v>23</c:v>
                </c:pt>
                <c:pt idx="23">
                  <c:v>24</c:v>
                </c:pt>
                <c:pt idx="24">
                  <c:v>25</c:v>
                </c:pt>
                <c:pt idx="25">
                  <c:v>26</c:v>
                </c:pt>
                <c:pt idx="26">
                  <c:v>27</c:v>
                </c:pt>
                <c:pt idx="27">
                  <c:v>28</c:v>
                </c:pt>
              </c:numCache>
            </c:numRef>
          </c:cat>
          <c:val>
            <c:numRef>
              <c:f>Лист1!$W$18:$W$45</c:f>
              <c:numCache>
                <c:formatCode>0.00</c:formatCode>
                <c:ptCount val="28"/>
                <c:pt idx="0">
                  <c:v>26.881177707676123</c:v>
                </c:pt>
                <c:pt idx="1">
                  <c:v>89.696064139941683</c:v>
                </c:pt>
                <c:pt idx="2">
                  <c:v>22.116719242902203</c:v>
                </c:pt>
                <c:pt idx="3">
                  <c:v>73.239067055393591</c:v>
                </c:pt>
                <c:pt idx="4">
                  <c:v>26.905362776025232</c:v>
                </c:pt>
                <c:pt idx="5">
                  <c:v>34.172011661807581</c:v>
                </c:pt>
                <c:pt idx="6">
                  <c:v>86.375364431486872</c:v>
                </c:pt>
                <c:pt idx="7">
                  <c:v>75.192419825072889</c:v>
                </c:pt>
                <c:pt idx="8">
                  <c:v>36.906705539358633</c:v>
                </c:pt>
                <c:pt idx="9">
                  <c:v>17.666666666666657</c:v>
                </c:pt>
                <c:pt idx="10">
                  <c:v>43.938775510204096</c:v>
                </c:pt>
                <c:pt idx="11">
                  <c:v>40.71574344023324</c:v>
                </c:pt>
                <c:pt idx="12">
                  <c:v>75.680758017492721</c:v>
                </c:pt>
                <c:pt idx="13">
                  <c:v>76.755102040816325</c:v>
                </c:pt>
                <c:pt idx="14">
                  <c:v>53.754373177842574</c:v>
                </c:pt>
                <c:pt idx="15">
                  <c:v>83.201166180758008</c:v>
                </c:pt>
                <c:pt idx="16">
                  <c:v>160.01683501683502</c:v>
                </c:pt>
                <c:pt idx="17">
                  <c:v>78.351533283470474</c:v>
                </c:pt>
                <c:pt idx="18">
                  <c:v>88.724756918474242</c:v>
                </c:pt>
                <c:pt idx="19">
                  <c:v>98.997756170531076</c:v>
                </c:pt>
                <c:pt idx="20">
                  <c:v>6.7828193832599126</c:v>
                </c:pt>
                <c:pt idx="21">
                  <c:v>6.4876651982378952</c:v>
                </c:pt>
                <c:pt idx="22">
                  <c:v>52.092744951383722</c:v>
                </c:pt>
                <c:pt idx="23">
                  <c:v>117.77811973164452</c:v>
                </c:pt>
                <c:pt idx="24">
                  <c:v>51.090501121914777</c:v>
                </c:pt>
                <c:pt idx="25">
                  <c:v>52.4936424831713</c:v>
                </c:pt>
                <c:pt idx="26">
                  <c:v>88.674644727000782</c:v>
                </c:pt>
                <c:pt idx="27">
                  <c:v>18.469411764705885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F6F-40A2-9970-7E8A4816D71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251579215"/>
        <c:axId val="1809297647"/>
      </c:barChart>
      <c:catAx>
        <c:axId val="251579215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Номер</a:t>
                </a:r>
                <a:r>
                  <a:rPr lang="ru-RU" baseline="0"/>
                  <a:t> образца</a:t>
                </a:r>
                <a:endParaRPr lang="ru-RU"/>
              </a:p>
            </c:rich>
          </c:tx>
          <c:layout>
            <c:manualLayout>
              <c:xMode val="edge"/>
              <c:yMode val="edge"/>
              <c:x val="0.42864484044757561"/>
              <c:y val="0.8096032285657887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1809297647"/>
        <c:crosses val="autoZero"/>
        <c:auto val="1"/>
        <c:lblAlgn val="ctr"/>
        <c:lblOffset val="100"/>
        <c:noMultiLvlLbl val="0"/>
      </c:catAx>
      <c:valAx>
        <c:axId val="1809297647"/>
        <c:scaling>
          <c:orientation val="minMax"/>
        </c:scaling>
        <c:delete val="0"/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Кортизол в шерсти, пг/мг</a:t>
                </a:r>
              </a:p>
            </c:rich>
          </c:tx>
          <c:layout>
            <c:manualLayout>
              <c:xMode val="edge"/>
              <c:yMode val="edge"/>
              <c:x val="2.7889211217018924E-2"/>
              <c:y val="4.1846336060360145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51579215"/>
        <c:crosses val="autoZero"/>
        <c:crossBetween val="between"/>
      </c:valAx>
      <c:valAx>
        <c:axId val="242173455"/>
        <c:scaling>
          <c:orientation val="minMax"/>
        </c:scaling>
        <c:delete val="0"/>
        <c:axPos val="r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r>
                  <a:rPr lang="ru-RU"/>
                  <a:t>Кортизол в плазме, нг/мл</a:t>
                </a:r>
              </a:p>
            </c:rich>
          </c:tx>
          <c:layout>
            <c:manualLayout>
              <c:xMode val="edge"/>
              <c:yMode val="edge"/>
              <c:x val="0.92507874015748026"/>
              <c:y val="3.6897330730594612E-2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Times New Roman" panose="02020603050405020304" pitchFamily="18" charset="0"/>
                  <a:ea typeface="+mn-ea"/>
                  <a:cs typeface="Times New Roman" panose="02020603050405020304" pitchFamily="18" charset="0"/>
                </a:defRPr>
              </a:pPr>
              <a:endParaRPr lang="ru-RU"/>
            </a:p>
          </c:txPr>
        </c:title>
        <c:numFmt formatCode="0" sourceLinked="0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601454687"/>
        <c:crosses val="max"/>
        <c:crossBetween val="between"/>
      </c:valAx>
      <c:catAx>
        <c:axId val="601454687"/>
        <c:scaling>
          <c:orientation val="minMax"/>
        </c:scaling>
        <c:delete val="1"/>
        <c:axPos val="b"/>
        <c:numFmt formatCode="0" sourceLinked="1"/>
        <c:majorTickMark val="out"/>
        <c:minorTickMark val="none"/>
        <c:tickLblPos val="nextTo"/>
        <c:crossAx val="242173455"/>
        <c:crosses val="autoZero"/>
        <c:auto val="1"/>
        <c:lblAlgn val="ctr"/>
        <c:lblOffset val="100"/>
        <c:noMultiLvlLbl val="0"/>
      </c:cat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ysClr val="windowText" lastClr="000000"/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bg1"/>
      </a:solidFill>
      <a:round/>
    </a:ln>
    <a:effectLst/>
  </c:spPr>
  <c:txPr>
    <a:bodyPr/>
    <a:lstStyle/>
    <a:p>
      <a:pPr>
        <a:defRPr sz="1000" b="0">
          <a:solidFill>
            <a:sysClr val="windowText" lastClr="000000"/>
          </a:solidFill>
          <a:latin typeface="Times New Roman" panose="02020603050405020304" pitchFamily="18" charset="0"/>
          <a:cs typeface="Times New Roman" panose="02020603050405020304" pitchFamily="18" charset="0"/>
        </a:defRPr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DED28B-6AC5-41FD-9BFB-0CCAEF149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Титов</dc:creator>
  <cp:keywords/>
  <dc:description/>
  <cp:lastModifiedBy>Xenia</cp:lastModifiedBy>
  <cp:revision>2</cp:revision>
  <cp:lastPrinted>2025-02-24T13:03:00Z</cp:lastPrinted>
  <dcterms:created xsi:type="dcterms:W3CDTF">2025-03-21T08:47:00Z</dcterms:created>
  <dcterms:modified xsi:type="dcterms:W3CDTF">2025-03-21T08:47:00Z</dcterms:modified>
</cp:coreProperties>
</file>