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11A61B0" w:rsidR="00130241" w:rsidRDefault="004A2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ПМССО-гидрогели с фермент-чувствительными сшивками как системы доставки соединений железа</w:t>
      </w:r>
    </w:p>
    <w:p w14:paraId="00000002" w14:textId="0F6AC57E" w:rsidR="00130241" w:rsidRPr="00B12690" w:rsidRDefault="00772E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b/>
          <w:i/>
          <w:color w:val="000000"/>
        </w:rPr>
        <w:t>Орлова П.Д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Фролов В.В.</w:t>
      </w:r>
      <w:r>
        <w:rPr>
          <w:b/>
          <w:color w:val="000000"/>
        </w:rPr>
        <w:t xml:space="preserve">, </w:t>
      </w:r>
      <w:r>
        <w:rPr>
          <w:b/>
          <w:i/>
          <w:color w:val="000000"/>
        </w:rPr>
        <w:t>Шариков С.В.</w:t>
      </w:r>
    </w:p>
    <w:p w14:paraId="00000003" w14:textId="5DA2EB68" w:rsidR="00130241" w:rsidRDefault="00772E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</w:p>
    <w:p w14:paraId="00000005" w14:textId="0E27383C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42FAFEC6" w:rsidR="00130241" w:rsidRPr="00FC6E0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772E6D">
        <w:rPr>
          <w:i/>
          <w:color w:val="000000"/>
          <w:lang w:val="en-US"/>
        </w:rPr>
        <w:t>E</w:t>
      </w:r>
      <w:r w:rsidR="003B76D6" w:rsidRPr="00772E6D">
        <w:rPr>
          <w:i/>
          <w:color w:val="000000"/>
        </w:rPr>
        <w:t>-</w:t>
      </w:r>
      <w:r w:rsidR="00772E6D">
        <w:rPr>
          <w:i/>
          <w:color w:val="000000"/>
          <w:lang w:val="en-US"/>
        </w:rPr>
        <w:t>mail</w:t>
      </w:r>
      <w:r w:rsidR="00772E6D" w:rsidRPr="00772E6D">
        <w:rPr>
          <w:i/>
          <w:color w:val="000000"/>
        </w:rPr>
        <w:t>:</w:t>
      </w:r>
      <w:hyperlink r:id="rId6" w:history="1">
        <w:r w:rsidR="00772E6D" w:rsidRPr="00FC6E0D">
          <w:rPr>
            <w:rStyle w:val="a9"/>
            <w:i/>
            <w:color w:val="auto"/>
            <w:lang w:val="en-US"/>
          </w:rPr>
          <w:t>p</w:t>
        </w:r>
        <w:r w:rsidR="00772E6D" w:rsidRPr="00FC6E0D">
          <w:rPr>
            <w:rStyle w:val="a9"/>
            <w:i/>
            <w:color w:val="auto"/>
          </w:rPr>
          <w:t>.</w:t>
        </w:r>
        <w:r w:rsidR="00772E6D" w:rsidRPr="00FC6E0D">
          <w:rPr>
            <w:rStyle w:val="a9"/>
            <w:i/>
            <w:color w:val="auto"/>
            <w:lang w:val="en-US"/>
          </w:rPr>
          <w:t>orlova</w:t>
        </w:r>
        <w:r w:rsidR="00772E6D" w:rsidRPr="00FC6E0D">
          <w:rPr>
            <w:rStyle w:val="a9"/>
            <w:i/>
            <w:color w:val="auto"/>
          </w:rPr>
          <w:t>2021@</w:t>
        </w:r>
        <w:r w:rsidR="00772E6D" w:rsidRPr="00FC6E0D">
          <w:rPr>
            <w:rStyle w:val="a9"/>
            <w:i/>
            <w:color w:val="auto"/>
            <w:lang w:val="en-US"/>
          </w:rPr>
          <w:t>mail</w:t>
        </w:r>
        <w:r w:rsidR="00772E6D" w:rsidRPr="00FC6E0D">
          <w:rPr>
            <w:rStyle w:val="a9"/>
            <w:i/>
            <w:color w:val="auto"/>
          </w:rPr>
          <w:t>.</w:t>
        </w:r>
        <w:proofErr w:type="spellStart"/>
        <w:r w:rsidR="00772E6D" w:rsidRPr="00FC6E0D">
          <w:rPr>
            <w:rStyle w:val="a9"/>
            <w:i/>
            <w:color w:val="auto"/>
            <w:lang w:val="en-US"/>
          </w:rPr>
          <w:t>ru</w:t>
        </w:r>
        <w:proofErr w:type="spellEnd"/>
      </w:hyperlink>
      <w:r w:rsidRPr="00FC6E0D">
        <w:rPr>
          <w:i/>
        </w:rPr>
        <w:t xml:space="preserve"> </w:t>
      </w:r>
    </w:p>
    <w:p w14:paraId="03223DC9" w14:textId="3BE5C67B" w:rsidR="007C36D8" w:rsidRDefault="00772E6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Пероральные препараты железа, применяемые для лечения </w:t>
      </w:r>
      <w:r w:rsidR="006A7DFF">
        <w:rPr>
          <w:color w:val="000000"/>
        </w:rPr>
        <w:t>железодефицитной</w:t>
      </w:r>
      <w:r>
        <w:rPr>
          <w:color w:val="000000"/>
        </w:rPr>
        <w:t xml:space="preserve"> анемии, вызывают ряд побочных эффектов, связанных с желудочно-кишечным трактом. Побочные эффекты возникают из-за того, что высвобождение железа происходит в желудке из-за агрессивной пищеварительной среды; всасывание железа при этом происходит слизистой оболочкой двенадцатиперстной кишки </w:t>
      </w:r>
      <w:r w:rsidRPr="00772E6D">
        <w:rPr>
          <w:color w:val="000000"/>
        </w:rPr>
        <w:t>[</w:t>
      </w:r>
      <w:r>
        <w:rPr>
          <w:color w:val="000000"/>
        </w:rPr>
        <w:t>1</w:t>
      </w:r>
      <w:r w:rsidRPr="00772E6D">
        <w:rPr>
          <w:color w:val="000000"/>
        </w:rPr>
        <w:t>]</w:t>
      </w:r>
      <w:r>
        <w:rPr>
          <w:color w:val="000000"/>
        </w:rPr>
        <w:t>.</w:t>
      </w:r>
      <w:r w:rsidRPr="00772E6D">
        <w:rPr>
          <w:color w:val="000000"/>
        </w:rPr>
        <w:t xml:space="preserve"> </w:t>
      </w:r>
      <w:r>
        <w:rPr>
          <w:color w:val="000000"/>
        </w:rPr>
        <w:t xml:space="preserve">Следовательно, актуальной является задача разработки биосовместимой системы доставки, которая обладала бы улучшенными биофармацевтическими свойствами и </w:t>
      </w:r>
      <w:r w:rsidR="006A7DFF">
        <w:rPr>
          <w:color w:val="000000"/>
        </w:rPr>
        <w:t>обеспечивала бы</w:t>
      </w:r>
      <w:r>
        <w:rPr>
          <w:color w:val="000000"/>
        </w:rPr>
        <w:t xml:space="preserve"> высвобождение железа в кишечнике.  </w:t>
      </w:r>
    </w:p>
    <w:p w14:paraId="4A2A9B0B" w14:textId="35283FA3" w:rsidR="00772E6D" w:rsidRDefault="00772E6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Ранее нами были изучены </w:t>
      </w:r>
      <w:proofErr w:type="spellStart"/>
      <w:r>
        <w:rPr>
          <w:color w:val="000000"/>
        </w:rPr>
        <w:t>полиметилсилсесквиоксановые</w:t>
      </w:r>
      <w:proofErr w:type="spellEnd"/>
      <w:r>
        <w:rPr>
          <w:color w:val="000000"/>
        </w:rPr>
        <w:t xml:space="preserve"> гидрогели (ПМССО) в качестве носителей для соединений железа. Нами было показано, что ПМССО частично замедляют высвобождение железа, однако требуют усовершенствования </w:t>
      </w:r>
      <w:r w:rsidRPr="00772E6D">
        <w:rPr>
          <w:color w:val="000000"/>
        </w:rPr>
        <w:t>[</w:t>
      </w:r>
      <w:r>
        <w:rPr>
          <w:color w:val="000000"/>
        </w:rPr>
        <w:t>2</w:t>
      </w:r>
      <w:r w:rsidRPr="00772E6D">
        <w:rPr>
          <w:color w:val="000000"/>
        </w:rPr>
        <w:t>]</w:t>
      </w:r>
      <w:r>
        <w:rPr>
          <w:color w:val="000000"/>
        </w:rPr>
        <w:t xml:space="preserve">. </w:t>
      </w:r>
    </w:p>
    <w:p w14:paraId="4615D925" w14:textId="45C1115A" w:rsidR="00772E6D" w:rsidRDefault="00772E6D" w:rsidP="00654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данной работы нами были получены </w:t>
      </w:r>
      <w:proofErr w:type="spellStart"/>
      <w:r>
        <w:rPr>
          <w:color w:val="000000"/>
        </w:rPr>
        <w:t>аминированные</w:t>
      </w:r>
      <w:proofErr w:type="spellEnd"/>
      <w:r>
        <w:rPr>
          <w:color w:val="000000"/>
        </w:rPr>
        <w:t xml:space="preserve"> ПМССО-гидрогели путем взаимодействия </w:t>
      </w:r>
      <w:proofErr w:type="spellStart"/>
      <w:r>
        <w:rPr>
          <w:color w:val="000000"/>
        </w:rPr>
        <w:t>метилтриэтоксисилана</w:t>
      </w:r>
      <w:proofErr w:type="spellEnd"/>
      <w:r>
        <w:rPr>
          <w:color w:val="000000"/>
        </w:rPr>
        <w:t xml:space="preserve"> с 3-аминопропилтриэтоксисиланом в условиях щелочного гидролиза. На поверхности </w:t>
      </w:r>
      <w:proofErr w:type="spellStart"/>
      <w:r>
        <w:rPr>
          <w:color w:val="000000"/>
        </w:rPr>
        <w:t>аминированных</w:t>
      </w:r>
      <w:proofErr w:type="spellEnd"/>
      <w:r>
        <w:rPr>
          <w:color w:val="000000"/>
        </w:rPr>
        <w:t xml:space="preserve"> гидрогелей были синтезированы амидные сшивки</w:t>
      </w:r>
      <w:r w:rsidR="00654882">
        <w:rPr>
          <w:color w:val="000000"/>
        </w:rPr>
        <w:t xml:space="preserve"> с помощью</w:t>
      </w:r>
      <w:r>
        <w:rPr>
          <w:color w:val="000000"/>
        </w:rPr>
        <w:t xml:space="preserve"> адипиновой кислоты, которые являются потенциально чувствительными к действию кишечных протеаз. Для синтеза сшивок использовали две </w:t>
      </w:r>
      <w:r w:rsidR="00654882">
        <w:rPr>
          <w:color w:val="000000"/>
        </w:rPr>
        <w:t>подхода</w:t>
      </w:r>
      <w:r>
        <w:rPr>
          <w:color w:val="000000"/>
        </w:rPr>
        <w:t xml:space="preserve">: </w:t>
      </w:r>
      <w:r w:rsidR="00654882">
        <w:rPr>
          <w:color w:val="000000"/>
        </w:rPr>
        <w:t xml:space="preserve">прямой синтез </w:t>
      </w:r>
      <w:r>
        <w:rPr>
          <w:color w:val="000000"/>
        </w:rPr>
        <w:t xml:space="preserve">с использованием </w:t>
      </w:r>
      <w:proofErr w:type="spellStart"/>
      <w:r>
        <w:rPr>
          <w:color w:val="000000"/>
        </w:rPr>
        <w:t>адипоилдихлорида</w:t>
      </w:r>
      <w:proofErr w:type="spellEnd"/>
      <w:r>
        <w:rPr>
          <w:color w:val="000000"/>
        </w:rPr>
        <w:t xml:space="preserve"> и </w:t>
      </w:r>
      <w:r w:rsidR="00654882">
        <w:rPr>
          <w:color w:val="000000"/>
        </w:rPr>
        <w:t xml:space="preserve">метод с предварительной активацией адипиновой кислоты несимметричным </w:t>
      </w:r>
      <w:proofErr w:type="spellStart"/>
      <w:r>
        <w:rPr>
          <w:color w:val="000000"/>
        </w:rPr>
        <w:t>карбодиимид</w:t>
      </w:r>
      <w:r w:rsidR="00654882">
        <w:rPr>
          <w:color w:val="000000"/>
        </w:rPr>
        <w:t>ом</w:t>
      </w:r>
      <w:proofErr w:type="spellEnd"/>
      <w:r w:rsidR="00654882">
        <w:rPr>
          <w:color w:val="000000"/>
        </w:rPr>
        <w:t xml:space="preserve"> </w:t>
      </w:r>
      <w:r w:rsidR="00654882">
        <w:rPr>
          <w:color w:val="000000"/>
          <w:lang w:val="en-US"/>
        </w:rPr>
        <w:t>EDC</w:t>
      </w:r>
      <w:r>
        <w:rPr>
          <w:color w:val="000000"/>
        </w:rPr>
        <w:t xml:space="preserve">. Сорбционная емкость таких гидрогелей по отношению к глюконату </w:t>
      </w:r>
      <w:r w:rsidR="00654882">
        <w:rPr>
          <w:color w:val="000000"/>
        </w:rPr>
        <w:t xml:space="preserve">составила </w:t>
      </w:r>
      <w:r w:rsidR="00D1171E">
        <w:rPr>
          <w:color w:val="000000"/>
        </w:rPr>
        <w:t xml:space="preserve">55% и 28% соответственно. </w:t>
      </w:r>
    </w:p>
    <w:p w14:paraId="192DA9EF" w14:textId="303E1506" w:rsidR="00FA3E43" w:rsidRDefault="00772E6D" w:rsidP="00FA3E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Гидрогели, содержащие сшивки, подвергли </w:t>
      </w:r>
      <w:proofErr w:type="spellStart"/>
      <w:r>
        <w:rPr>
          <w:color w:val="000000"/>
        </w:rPr>
        <w:t>трипсинолизу</w:t>
      </w:r>
      <w:proofErr w:type="spellEnd"/>
      <w:r w:rsidR="00D1171E">
        <w:rPr>
          <w:color w:val="000000"/>
        </w:rPr>
        <w:t xml:space="preserve">. </w:t>
      </w:r>
      <w:proofErr w:type="spellStart"/>
      <w:r w:rsidR="00D1171E">
        <w:rPr>
          <w:color w:val="000000"/>
        </w:rPr>
        <w:t>Трипсинолиз</w:t>
      </w:r>
      <w:proofErr w:type="spellEnd"/>
      <w:r w:rsidR="00D1171E">
        <w:rPr>
          <w:color w:val="000000"/>
        </w:rPr>
        <w:t xml:space="preserve"> проводили в боратном </w:t>
      </w:r>
      <w:r w:rsidR="00D1171E" w:rsidRPr="00FA3E43">
        <w:rPr>
          <w:color w:val="000000"/>
        </w:rPr>
        <w:t>буфере</w:t>
      </w:r>
      <w:r w:rsidR="006A7DFF" w:rsidRPr="00FA3E43">
        <w:rPr>
          <w:color w:val="000000"/>
        </w:rPr>
        <w:t xml:space="preserve"> (</w:t>
      </w:r>
      <w:r w:rsidR="00FA3E43" w:rsidRPr="00FA3E43">
        <w:rPr>
          <w:color w:val="000000"/>
        </w:rPr>
        <w:t>0</w:t>
      </w:r>
      <w:r w:rsidR="00FA3E43">
        <w:rPr>
          <w:color w:val="000000"/>
        </w:rPr>
        <w:t xml:space="preserve">.1 М, </w:t>
      </w:r>
      <w:r w:rsidR="00FA3E43">
        <w:rPr>
          <w:color w:val="000000"/>
          <w:lang w:val="en-US"/>
        </w:rPr>
        <w:t>pH</w:t>
      </w:r>
      <w:r w:rsidR="00FA3E43">
        <w:rPr>
          <w:color w:val="000000"/>
        </w:rPr>
        <w:t xml:space="preserve"> 8.</w:t>
      </w:r>
      <w:r w:rsidR="00B57BF9">
        <w:rPr>
          <w:color w:val="000000"/>
        </w:rPr>
        <w:t>4</w:t>
      </w:r>
      <w:r w:rsidR="006A7DFF">
        <w:rPr>
          <w:color w:val="000000"/>
        </w:rPr>
        <w:t>)</w:t>
      </w:r>
      <w:r w:rsidR="00D1171E">
        <w:rPr>
          <w:color w:val="000000"/>
        </w:rPr>
        <w:t>, концентрация активн</w:t>
      </w:r>
      <w:r w:rsidR="006A7DFF">
        <w:rPr>
          <w:color w:val="000000"/>
        </w:rPr>
        <w:t>ых</w:t>
      </w:r>
      <w:r w:rsidR="00D1171E">
        <w:rPr>
          <w:color w:val="000000"/>
        </w:rPr>
        <w:t xml:space="preserve"> центр</w:t>
      </w:r>
      <w:r w:rsidR="006A7DFF">
        <w:rPr>
          <w:color w:val="000000"/>
        </w:rPr>
        <w:t>ов</w:t>
      </w:r>
      <w:r w:rsidR="00D1171E">
        <w:rPr>
          <w:color w:val="000000"/>
        </w:rPr>
        <w:t xml:space="preserve"> трипсина составила </w:t>
      </w:r>
    </w:p>
    <w:p w14:paraId="7D00DAED" w14:textId="07DCED46" w:rsidR="00772E6D" w:rsidRDefault="00D1171E" w:rsidP="00FA3E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A3E43">
        <w:rPr>
          <w:color w:val="000000"/>
        </w:rPr>
        <w:t>10</w:t>
      </w:r>
      <w:r w:rsidRPr="00FA3E43">
        <w:rPr>
          <w:color w:val="000000"/>
          <w:vertAlign w:val="superscript"/>
        </w:rPr>
        <w:t>-5</w:t>
      </w:r>
      <w:r w:rsidRPr="00FA3E43">
        <w:rPr>
          <w:color w:val="000000"/>
        </w:rPr>
        <w:t xml:space="preserve"> М</w:t>
      </w:r>
      <w:r w:rsidR="00FA3E43" w:rsidRPr="00FA3E43">
        <w:rPr>
          <w:color w:val="000000"/>
        </w:rPr>
        <w:t>.</w:t>
      </w:r>
      <w:r w:rsidR="00FA3E43">
        <w:rPr>
          <w:color w:val="000000"/>
        </w:rPr>
        <w:t xml:space="preserve"> </w:t>
      </w:r>
      <w:r w:rsidR="006A7DFF">
        <w:rPr>
          <w:color w:val="000000"/>
        </w:rPr>
        <w:t xml:space="preserve">Реакцию останавливали </w:t>
      </w:r>
      <w:r>
        <w:rPr>
          <w:color w:val="000000"/>
        </w:rPr>
        <w:t>через 15, 30, 60 и 90 минут.</w:t>
      </w:r>
      <w:r w:rsidR="00772E6D">
        <w:rPr>
          <w:color w:val="000000"/>
        </w:rPr>
        <w:t xml:space="preserve"> </w:t>
      </w:r>
      <w:r w:rsidR="00654882">
        <w:rPr>
          <w:color w:val="000000"/>
        </w:rPr>
        <w:t xml:space="preserve">Процесс </w:t>
      </w:r>
      <w:proofErr w:type="spellStart"/>
      <w:r w:rsidR="00654882">
        <w:rPr>
          <w:color w:val="000000"/>
        </w:rPr>
        <w:t>трипсинолиза</w:t>
      </w:r>
      <w:proofErr w:type="spellEnd"/>
      <w:r w:rsidR="00654882">
        <w:rPr>
          <w:color w:val="000000"/>
        </w:rPr>
        <w:t xml:space="preserve"> контролировали методами ИК-спектроскопии и ИК-микроскопии. </w:t>
      </w:r>
      <w:r w:rsidR="00772E6D">
        <w:rPr>
          <w:color w:val="000000"/>
        </w:rPr>
        <w:t xml:space="preserve">Уже после 30 минут </w:t>
      </w:r>
      <w:proofErr w:type="spellStart"/>
      <w:r w:rsidR="00772E6D">
        <w:rPr>
          <w:color w:val="000000"/>
        </w:rPr>
        <w:t>трипсинолиза</w:t>
      </w:r>
      <w:proofErr w:type="spellEnd"/>
      <w:r w:rsidR="00772E6D">
        <w:rPr>
          <w:color w:val="000000"/>
        </w:rPr>
        <w:t xml:space="preserve"> наблюдалось уменьшение интенсивности полос поглощения амидной связи в области 1800–1400 см</w:t>
      </w:r>
      <w:r w:rsidR="00772E6D" w:rsidRPr="00772E6D">
        <w:rPr>
          <w:color w:val="000000"/>
          <w:vertAlign w:val="superscript"/>
        </w:rPr>
        <w:t>-1</w:t>
      </w:r>
      <w:r w:rsidR="00772E6D">
        <w:rPr>
          <w:color w:val="000000"/>
        </w:rPr>
        <w:t xml:space="preserve">, что указывает на разрушение амидных связей в ходе </w:t>
      </w:r>
      <w:proofErr w:type="spellStart"/>
      <w:r w:rsidR="00772E6D">
        <w:rPr>
          <w:color w:val="000000"/>
        </w:rPr>
        <w:t>трипсинолиза</w:t>
      </w:r>
      <w:proofErr w:type="spellEnd"/>
      <w:r w:rsidR="00772E6D">
        <w:rPr>
          <w:color w:val="000000"/>
        </w:rPr>
        <w:t xml:space="preserve">. Полученные результаты демонстрируют фермент-чувствительность сшивок на поверхности гидрогелей.  </w:t>
      </w:r>
    </w:p>
    <w:p w14:paraId="1D9CA653" w14:textId="2DCAD1EC" w:rsidR="00772E6D" w:rsidRDefault="00772E6D" w:rsidP="00772E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Эксперимент по высвобождению железа из </w:t>
      </w:r>
      <w:proofErr w:type="spellStart"/>
      <w:r>
        <w:rPr>
          <w:color w:val="000000"/>
        </w:rPr>
        <w:t>амидированных</w:t>
      </w:r>
      <w:proofErr w:type="spellEnd"/>
      <w:r>
        <w:rPr>
          <w:color w:val="000000"/>
        </w:rPr>
        <w:t xml:space="preserve"> ПМССО</w:t>
      </w:r>
      <w:r w:rsidR="00654882">
        <w:rPr>
          <w:color w:val="000000"/>
        </w:rPr>
        <w:t>-гидрогелей</w:t>
      </w:r>
      <w:r>
        <w:rPr>
          <w:color w:val="000000"/>
        </w:rPr>
        <w:t xml:space="preserve"> проводили в буферных условиях, имитирующих пищеварительную среду, в том числе с содержанием соответствующих пищеварительных ферментов. Показано, что высвобождение 70% железа из гидрогелей, содержащих амидные сшивки, происходит в условиях кишечной среды, в то время как из гидрогелей без сшивок 80% железа высвобождается уже в желудке. </w:t>
      </w:r>
    </w:p>
    <w:p w14:paraId="18FB4E38" w14:textId="77777777" w:rsidR="00772E6D" w:rsidRPr="00772E6D" w:rsidRDefault="00772E6D" w:rsidP="00772E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72E6D">
        <w:rPr>
          <w:i/>
          <w:iCs/>
          <w:color w:val="000000"/>
        </w:rPr>
        <w:t xml:space="preserve">Работа выполнена при поддержке гранта РНФ 24-73-00091. Оборудование для проведения исследований (ИК-микроскоп Микран-3, ИК-спектрометр Bruker Tensor 27) приобретено при поддержке Программы Развития МГУ. </w:t>
      </w:r>
    </w:p>
    <w:p w14:paraId="0000000E" w14:textId="77777777" w:rsidR="00130241" w:rsidRPr="00772E6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62D7D2E" w14:textId="31DE8CFC" w:rsidR="00772E6D" w:rsidRPr="001924F7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1924F7" w:rsidRPr="001924F7">
        <w:rPr>
          <w:lang w:val="en-US"/>
        </w:rPr>
        <w:t xml:space="preserve">Triverdi R., Barve K. Delivery systems for improving iron uptake in anemia // International Journal of Pharmaceutics. 2021. </w:t>
      </w:r>
      <w:proofErr w:type="spellStart"/>
      <w:r w:rsidR="001924F7" w:rsidRPr="001924F7">
        <w:rPr>
          <w:lang w:val="en-US"/>
        </w:rPr>
        <w:t>Vol</w:t>
      </w:r>
      <w:proofErr w:type="spellEnd"/>
      <w:r w:rsidR="001924F7" w:rsidRPr="001924F7">
        <w:rPr>
          <w:lang w:val="en-US"/>
        </w:rPr>
        <w:t>. 601. № 120590.</w:t>
      </w:r>
      <w:bookmarkStart w:id="0" w:name="_GoBack"/>
      <w:bookmarkEnd w:id="0"/>
    </w:p>
    <w:p w14:paraId="73F34A2E" w14:textId="247C321F" w:rsidR="00772E6D" w:rsidRPr="001924F7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proofErr w:type="spellStart"/>
      <w:r w:rsidR="00FC6E0D">
        <w:rPr>
          <w:lang w:val="en-US"/>
        </w:rPr>
        <w:t>Orlova</w:t>
      </w:r>
      <w:proofErr w:type="spellEnd"/>
      <w:r w:rsidR="000C49F2">
        <w:rPr>
          <w:lang w:val="en-US"/>
        </w:rPr>
        <w:t xml:space="preserve"> P.</w:t>
      </w:r>
      <w:r w:rsidR="000C49F2" w:rsidRPr="000C49F2">
        <w:rPr>
          <w:lang w:val="en-US"/>
        </w:rPr>
        <w:t>,</w:t>
      </w:r>
      <w:r w:rsidR="00FC6E0D">
        <w:rPr>
          <w:lang w:val="en-US"/>
        </w:rPr>
        <w:t xml:space="preserve"> </w:t>
      </w:r>
      <w:proofErr w:type="spellStart"/>
      <w:r w:rsidR="00FC6E0D">
        <w:rPr>
          <w:lang w:val="en-US"/>
        </w:rPr>
        <w:t>Meshkov</w:t>
      </w:r>
      <w:proofErr w:type="spellEnd"/>
      <w:r w:rsidR="000C49F2">
        <w:rPr>
          <w:lang w:val="en-US"/>
        </w:rPr>
        <w:t xml:space="preserve"> I.</w:t>
      </w:r>
      <w:r w:rsidR="000C49F2" w:rsidRPr="000C49F2">
        <w:rPr>
          <w:lang w:val="en-US"/>
        </w:rPr>
        <w:t>,</w:t>
      </w:r>
      <w:r w:rsidR="00FC6E0D">
        <w:rPr>
          <w:lang w:val="en-US"/>
        </w:rPr>
        <w:t xml:space="preserve"> </w:t>
      </w:r>
      <w:proofErr w:type="spellStart"/>
      <w:r w:rsidR="00FC6E0D">
        <w:rPr>
          <w:lang w:val="en-US"/>
        </w:rPr>
        <w:t>Latipov</w:t>
      </w:r>
      <w:proofErr w:type="spellEnd"/>
      <w:r w:rsidR="000C49F2">
        <w:rPr>
          <w:lang w:val="en-US"/>
        </w:rPr>
        <w:t xml:space="preserve"> E.</w:t>
      </w:r>
      <w:r w:rsidR="00FC6E0D">
        <w:rPr>
          <w:lang w:val="en-US"/>
        </w:rPr>
        <w:t xml:space="preserve">, </w:t>
      </w:r>
      <w:proofErr w:type="spellStart"/>
      <w:r w:rsidR="00FC6E0D">
        <w:rPr>
          <w:lang w:val="en-US"/>
        </w:rPr>
        <w:t>Vasiliev</w:t>
      </w:r>
      <w:proofErr w:type="spellEnd"/>
      <w:r w:rsidR="00FC6E0D">
        <w:rPr>
          <w:lang w:val="en-US"/>
        </w:rPr>
        <w:t xml:space="preserve"> S., </w:t>
      </w:r>
      <w:proofErr w:type="spellStart"/>
      <w:r w:rsidR="00FC6E0D">
        <w:rPr>
          <w:lang w:val="en-US"/>
        </w:rPr>
        <w:t>Mikheev</w:t>
      </w:r>
      <w:proofErr w:type="spellEnd"/>
      <w:r w:rsidR="00FC6E0D">
        <w:rPr>
          <w:lang w:val="en-US"/>
        </w:rPr>
        <w:t xml:space="preserve"> I., </w:t>
      </w:r>
      <w:proofErr w:type="spellStart"/>
      <w:r w:rsidR="00FC6E0D">
        <w:rPr>
          <w:lang w:val="en-US"/>
        </w:rPr>
        <w:t>Ratova</w:t>
      </w:r>
      <w:proofErr w:type="spellEnd"/>
      <w:r w:rsidR="000C49F2" w:rsidRPr="000C49F2">
        <w:rPr>
          <w:lang w:val="en-US"/>
        </w:rPr>
        <w:t xml:space="preserve"> D.-M., </w:t>
      </w:r>
      <w:proofErr w:type="spellStart"/>
      <w:r w:rsidR="000C49F2" w:rsidRPr="000C49F2">
        <w:rPr>
          <w:lang w:val="en-US"/>
        </w:rPr>
        <w:t>Kalinina</w:t>
      </w:r>
      <w:proofErr w:type="spellEnd"/>
      <w:r w:rsidR="00FC6E0D">
        <w:rPr>
          <w:lang w:val="en-US"/>
        </w:rPr>
        <w:t xml:space="preserve"> A., </w:t>
      </w:r>
      <w:proofErr w:type="spellStart"/>
      <w:r w:rsidR="00FC6E0D">
        <w:rPr>
          <w:lang w:val="en-US"/>
        </w:rPr>
        <w:t>Muzafarov</w:t>
      </w:r>
      <w:proofErr w:type="spellEnd"/>
      <w:r w:rsidR="000C49F2" w:rsidRPr="000C49F2">
        <w:rPr>
          <w:lang w:val="en-US"/>
        </w:rPr>
        <w:t xml:space="preserve"> A., Le-</w:t>
      </w:r>
      <w:proofErr w:type="spellStart"/>
      <w:r w:rsidR="000C49F2" w:rsidRPr="000C49F2">
        <w:rPr>
          <w:lang w:val="en-US"/>
        </w:rPr>
        <w:t>Deygen</w:t>
      </w:r>
      <w:proofErr w:type="spellEnd"/>
      <w:r w:rsidR="000C49F2" w:rsidRPr="000C49F2">
        <w:rPr>
          <w:lang w:val="en-US"/>
        </w:rPr>
        <w:t xml:space="preserve">, I. </w:t>
      </w:r>
      <w:proofErr w:type="spellStart"/>
      <w:r w:rsidR="000C49F2" w:rsidRPr="000C49F2">
        <w:rPr>
          <w:lang w:val="en-US"/>
        </w:rPr>
        <w:t>Cyclodextrin</w:t>
      </w:r>
      <w:proofErr w:type="spellEnd"/>
      <w:r w:rsidR="000C49F2" w:rsidRPr="000C49F2">
        <w:rPr>
          <w:lang w:val="en-US"/>
        </w:rPr>
        <w:t xml:space="preserve">— </w:t>
      </w:r>
      <w:proofErr w:type="spellStart"/>
      <w:r w:rsidR="000C49F2" w:rsidRPr="000C49F2">
        <w:rPr>
          <w:lang w:val="en-US"/>
        </w:rPr>
        <w:t>Polymethylsilsesquioxane</w:t>
      </w:r>
      <w:proofErr w:type="spellEnd"/>
      <w:r w:rsidR="000C49F2" w:rsidRPr="000C49F2">
        <w:rPr>
          <w:lang w:val="en-US"/>
        </w:rPr>
        <w:t xml:space="preserve"> Combined System as a Perspective Iron Delivery</w:t>
      </w:r>
      <w:r w:rsidR="000C49F2">
        <w:rPr>
          <w:lang w:val="en-US"/>
        </w:rPr>
        <w:t xml:space="preserve"> System for Oral Administration //</w:t>
      </w:r>
      <w:r w:rsidR="000C49F2" w:rsidRPr="000C49F2">
        <w:rPr>
          <w:lang w:val="en-US"/>
        </w:rPr>
        <w:t xml:space="preserve"> Gels</w:t>
      </w:r>
      <w:r w:rsidR="000C49F2">
        <w:rPr>
          <w:lang w:val="en-US"/>
        </w:rPr>
        <w:t>. 2024. Vol.</w:t>
      </w:r>
      <w:r w:rsidR="00FC6E0D">
        <w:rPr>
          <w:lang w:val="en-US"/>
        </w:rPr>
        <w:t xml:space="preserve"> 10</w:t>
      </w:r>
      <w:r w:rsidR="000C49F2" w:rsidRPr="000C49F2">
        <w:rPr>
          <w:lang w:val="en-US"/>
        </w:rPr>
        <w:t>.</w:t>
      </w:r>
      <w:r w:rsidR="00FC6E0D" w:rsidRPr="001924F7">
        <w:rPr>
          <w:lang w:val="en-US"/>
        </w:rPr>
        <w:t xml:space="preserve"> </w:t>
      </w:r>
      <w:r w:rsidR="00AC3C24" w:rsidRPr="001924F7">
        <w:rPr>
          <w:lang w:val="en-US"/>
        </w:rPr>
        <w:t>№</w:t>
      </w:r>
      <w:r w:rsidR="00FC6E0D">
        <w:rPr>
          <w:lang w:val="en-US"/>
        </w:rPr>
        <w:t>. 564.</w:t>
      </w:r>
      <w:r w:rsidR="00AC3C24" w:rsidRPr="001924F7">
        <w:rPr>
          <w:lang w:val="en-US"/>
        </w:rPr>
        <w:t xml:space="preserve"> </w:t>
      </w:r>
    </w:p>
    <w:sectPr w:rsidR="00772E6D" w:rsidRPr="001924F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554F8"/>
    <w:rsid w:val="00063966"/>
    <w:rsid w:val="00075D6E"/>
    <w:rsid w:val="00086081"/>
    <w:rsid w:val="0009449A"/>
    <w:rsid w:val="00094FD0"/>
    <w:rsid w:val="000C49F2"/>
    <w:rsid w:val="000E334E"/>
    <w:rsid w:val="00101A1C"/>
    <w:rsid w:val="00103657"/>
    <w:rsid w:val="00106375"/>
    <w:rsid w:val="00107AA3"/>
    <w:rsid w:val="00116478"/>
    <w:rsid w:val="00130241"/>
    <w:rsid w:val="001924F7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3F5F8F"/>
    <w:rsid w:val="004A26A3"/>
    <w:rsid w:val="004A2CE7"/>
    <w:rsid w:val="004F0EDF"/>
    <w:rsid w:val="00522BF1"/>
    <w:rsid w:val="00590166"/>
    <w:rsid w:val="005D022B"/>
    <w:rsid w:val="005E5BE9"/>
    <w:rsid w:val="00654882"/>
    <w:rsid w:val="0069427D"/>
    <w:rsid w:val="006A7DFF"/>
    <w:rsid w:val="006F7A19"/>
    <w:rsid w:val="007213E1"/>
    <w:rsid w:val="00772E6D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0596C"/>
    <w:rsid w:val="00A314FE"/>
    <w:rsid w:val="00AC3C24"/>
    <w:rsid w:val="00AD7380"/>
    <w:rsid w:val="00B12690"/>
    <w:rsid w:val="00B57BF9"/>
    <w:rsid w:val="00BF36F8"/>
    <w:rsid w:val="00BF4622"/>
    <w:rsid w:val="00C844E2"/>
    <w:rsid w:val="00CD00B1"/>
    <w:rsid w:val="00D1171E"/>
    <w:rsid w:val="00D22306"/>
    <w:rsid w:val="00D42542"/>
    <w:rsid w:val="00D8121C"/>
    <w:rsid w:val="00E22189"/>
    <w:rsid w:val="00E74069"/>
    <w:rsid w:val="00E81D35"/>
    <w:rsid w:val="00EB1F49"/>
    <w:rsid w:val="00F865B3"/>
    <w:rsid w:val="00FA3E43"/>
    <w:rsid w:val="00FB1509"/>
    <w:rsid w:val="00FC6E0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77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orlova20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4B151-6D15-4381-8A39-95C0E1C8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Орлова</dc:creator>
  <cp:lastModifiedBy>Учетная запись Майкрософт</cp:lastModifiedBy>
  <cp:revision>2</cp:revision>
  <dcterms:created xsi:type="dcterms:W3CDTF">2025-03-20T15:52:00Z</dcterms:created>
  <dcterms:modified xsi:type="dcterms:W3CDTF">2025-03-20T15:52:00Z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