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7C89F4D" w:rsidR="00130241" w:rsidRDefault="00A022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Изучение активности аргиназы в водной среде методом ИК-Фурье спектроскопии</w:t>
      </w:r>
    </w:p>
    <w:p w14:paraId="00000002" w14:textId="0155EFFE" w:rsidR="00130241" w:rsidRDefault="00A022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Амелин Д.С., Ваничкин Д.А., Кудряшова Е.В.</w:t>
      </w:r>
    </w:p>
    <w:p w14:paraId="00000003" w14:textId="578D159C" w:rsidR="00130241" w:rsidRDefault="00A022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7" w14:textId="0CAFFFE3" w:rsidR="00130241" w:rsidRPr="000E334E" w:rsidRDefault="00EB1F49" w:rsidP="00A022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 w:rsidR="00A0227B">
        <w:rPr>
          <w:i/>
          <w:color w:val="000000"/>
        </w:rPr>
        <w:t xml:space="preserve"> факультет, Москва, Россия</w:t>
      </w:r>
    </w:p>
    <w:p w14:paraId="1ADA4293" w14:textId="6D701000" w:rsidR="00CD00B1" w:rsidRPr="000C587C" w:rsidRDefault="00EB1F49" w:rsidP="00E41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C587C">
        <w:rPr>
          <w:i/>
          <w:color w:val="000000"/>
          <w:lang w:val="en-US"/>
        </w:rPr>
        <w:t>E</w:t>
      </w:r>
      <w:r w:rsidR="003B76D6" w:rsidRPr="000C587C">
        <w:rPr>
          <w:i/>
          <w:color w:val="000000"/>
          <w:lang w:val="en-US"/>
        </w:rPr>
        <w:t>-</w:t>
      </w:r>
      <w:r w:rsidRPr="000C587C">
        <w:rPr>
          <w:i/>
          <w:color w:val="000000"/>
          <w:lang w:val="en-US"/>
        </w:rPr>
        <w:t xml:space="preserve">mail: </w:t>
      </w:r>
      <w:r w:rsidR="000C587C" w:rsidRPr="000C587C">
        <w:rPr>
          <w:i/>
          <w:color w:val="000000"/>
          <w:u w:val="single"/>
          <w:lang w:val="en-US"/>
        </w:rPr>
        <w:t>danila.amelin.2003@mail.ru</w:t>
      </w:r>
    </w:p>
    <w:p w14:paraId="401F3857" w14:textId="3518227E" w:rsidR="00C24B26" w:rsidRPr="00C24B26" w:rsidRDefault="003608E8" w:rsidP="00C24B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24B26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77BC753" wp14:editId="7468FF39">
            <wp:simplePos x="0" y="0"/>
            <wp:positionH relativeFrom="column">
              <wp:posOffset>415925</wp:posOffset>
            </wp:positionH>
            <wp:positionV relativeFrom="page">
              <wp:posOffset>3181985</wp:posOffset>
            </wp:positionV>
            <wp:extent cx="4680000" cy="658800"/>
            <wp:effectExtent l="0" t="0" r="6350" b="8255"/>
            <wp:wrapTopAndBottom/>
            <wp:docPr id="1" name="Рисунок 1" descr="C:\Users\ChemistNSK\Downloads\Ломоносов 2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mistNSK\Downloads\Ломоносов 2.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B26" w:rsidRPr="00C24B26">
        <w:rPr>
          <w:color w:val="000000"/>
        </w:rPr>
        <w:t>Аргиназа (</w:t>
      </w:r>
      <w:r w:rsidR="00C24B26" w:rsidRPr="00C24B26">
        <w:rPr>
          <w:color w:val="000000"/>
          <w:lang w:val="en-US"/>
        </w:rPr>
        <w:t>L</w:t>
      </w:r>
      <w:r w:rsidR="00C24B26" w:rsidRPr="00C24B26">
        <w:rPr>
          <w:color w:val="000000"/>
        </w:rPr>
        <w:t xml:space="preserve">-аргинин амидиногидролаза, </w:t>
      </w:r>
      <w:r w:rsidR="00C24B26" w:rsidRPr="00C24B26">
        <w:rPr>
          <w:color w:val="000000"/>
          <w:lang w:val="en-US"/>
        </w:rPr>
        <w:t>EC</w:t>
      </w:r>
      <w:r w:rsidR="00C24B26" w:rsidRPr="00C24B26">
        <w:rPr>
          <w:color w:val="000000"/>
        </w:rPr>
        <w:t xml:space="preserve"> 3.5.3.1) </w:t>
      </w:r>
      <w:r w:rsidR="00C24B26">
        <w:rPr>
          <w:color w:val="000000"/>
        </w:rPr>
        <w:t>–</w:t>
      </w:r>
      <w:r w:rsidR="00C24B26" w:rsidRPr="00C24B26">
        <w:rPr>
          <w:color w:val="000000"/>
        </w:rPr>
        <w:t xml:space="preserve"> фермент</w:t>
      </w:r>
      <w:r w:rsidR="00C24B26">
        <w:rPr>
          <w:color w:val="000000"/>
        </w:rPr>
        <w:t xml:space="preserve">, участвующий в цикле мочевины, катализирующий гидролиз </w:t>
      </w:r>
      <w:r w:rsidR="00C24B26">
        <w:rPr>
          <w:color w:val="000000"/>
          <w:lang w:val="en-US"/>
        </w:rPr>
        <w:t>L</w:t>
      </w:r>
      <w:r w:rsidR="00C24B26" w:rsidRPr="00C24B26">
        <w:rPr>
          <w:color w:val="000000"/>
        </w:rPr>
        <w:t>-</w:t>
      </w:r>
      <w:r w:rsidR="00C24B26">
        <w:rPr>
          <w:color w:val="000000"/>
        </w:rPr>
        <w:t xml:space="preserve">аргинина до </w:t>
      </w:r>
      <w:r w:rsidR="00C24B26">
        <w:rPr>
          <w:color w:val="000000"/>
          <w:lang w:val="en-US"/>
        </w:rPr>
        <w:t>L</w:t>
      </w:r>
      <w:r w:rsidR="00C24B26" w:rsidRPr="00C24B26">
        <w:rPr>
          <w:color w:val="000000"/>
        </w:rPr>
        <w:t>-</w:t>
      </w:r>
      <w:r w:rsidR="00C24B26">
        <w:rPr>
          <w:color w:val="000000"/>
        </w:rPr>
        <w:t>орнитина и мочевины</w:t>
      </w:r>
      <w:r w:rsidR="0017456B" w:rsidRPr="00C24B26">
        <w:rPr>
          <w:color w:val="000000"/>
        </w:rPr>
        <w:t>.</w:t>
      </w:r>
      <w:r w:rsidR="00C24B26">
        <w:rPr>
          <w:color w:val="000000"/>
        </w:rPr>
        <w:t xml:space="preserve"> Некоторые виды рака, в частности, рак печени и гепатоцеллюлярная карцинома, являются ауксотрофными по отношению к </w:t>
      </w:r>
      <w:r w:rsidR="00C24B26">
        <w:rPr>
          <w:color w:val="000000"/>
          <w:lang w:val="en-US"/>
        </w:rPr>
        <w:t>L</w:t>
      </w:r>
      <w:r w:rsidR="00C24B26" w:rsidRPr="00C24B26">
        <w:rPr>
          <w:color w:val="000000"/>
        </w:rPr>
        <w:t>-</w:t>
      </w:r>
      <w:r w:rsidR="00C24B26">
        <w:rPr>
          <w:color w:val="000000"/>
        </w:rPr>
        <w:t xml:space="preserve">аргинину, и лишение опухоли данной аминокислоты является одним из методов терапии данного вида рака, что делает аргиназу эффективным агентов для терапии [1]. Также было показано, что изоформы аргиназы млекопитающих: </w:t>
      </w:r>
      <w:r w:rsidR="00C24B26">
        <w:rPr>
          <w:color w:val="000000"/>
          <w:lang w:val="en-US"/>
        </w:rPr>
        <w:t>ARG</w:t>
      </w:r>
      <w:r w:rsidR="00C24B26" w:rsidRPr="00C24B26">
        <w:rPr>
          <w:color w:val="000000"/>
        </w:rPr>
        <w:t xml:space="preserve">1 </w:t>
      </w:r>
      <w:r w:rsidR="00C24B26">
        <w:rPr>
          <w:color w:val="000000"/>
        </w:rPr>
        <w:t xml:space="preserve">и </w:t>
      </w:r>
      <w:r w:rsidR="00C24B26">
        <w:rPr>
          <w:color w:val="000000"/>
          <w:lang w:val="en-US"/>
        </w:rPr>
        <w:t>ARG</w:t>
      </w:r>
      <w:r w:rsidR="00C24B26" w:rsidRPr="00C24B26">
        <w:rPr>
          <w:color w:val="000000"/>
        </w:rPr>
        <w:t xml:space="preserve">2 </w:t>
      </w:r>
      <w:r w:rsidR="00C24B26">
        <w:rPr>
          <w:color w:val="000000"/>
        </w:rPr>
        <w:t>–</w:t>
      </w:r>
      <w:r w:rsidR="00C24B26" w:rsidRPr="00C24B26">
        <w:rPr>
          <w:color w:val="000000"/>
        </w:rPr>
        <w:t xml:space="preserve"> </w:t>
      </w:r>
      <w:r w:rsidR="00C24B26">
        <w:rPr>
          <w:color w:val="000000"/>
        </w:rPr>
        <w:t xml:space="preserve">аномально активны при различных формах рака и играют решающую роль в </w:t>
      </w:r>
      <w:r>
        <w:rPr>
          <w:color w:val="000000"/>
        </w:rPr>
        <w:t>регуляции</w:t>
      </w:r>
      <w:r w:rsidR="00C24B26">
        <w:rPr>
          <w:color w:val="000000"/>
        </w:rPr>
        <w:t xml:space="preserve"> роста опухоли и </w:t>
      </w:r>
      <w:r>
        <w:rPr>
          <w:color w:val="000000"/>
        </w:rPr>
        <w:t>метастазирования</w:t>
      </w:r>
      <w:r w:rsidR="00C24B26">
        <w:rPr>
          <w:color w:val="000000"/>
        </w:rPr>
        <w:t xml:space="preserve"> </w:t>
      </w:r>
      <w:r w:rsidR="00C24B26" w:rsidRPr="00C24B26">
        <w:rPr>
          <w:color w:val="000000"/>
        </w:rPr>
        <w:t>[2].</w:t>
      </w:r>
    </w:p>
    <w:p w14:paraId="691785C4" w14:textId="452E74F9" w:rsidR="003608E8" w:rsidRDefault="0017456B" w:rsidP="00360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Гидролиз </w:t>
      </w:r>
      <w:r>
        <w:rPr>
          <w:color w:val="000000"/>
          <w:lang w:val="en-US"/>
        </w:rPr>
        <w:t>L</w:t>
      </w:r>
      <w:r w:rsidRPr="00C24B26">
        <w:rPr>
          <w:color w:val="000000"/>
        </w:rPr>
        <w:t>-</w:t>
      </w:r>
      <w:r>
        <w:rPr>
          <w:color w:val="000000"/>
        </w:rPr>
        <w:t>аргинина</w:t>
      </w:r>
    </w:p>
    <w:p w14:paraId="30994456" w14:textId="38C910F8" w:rsidR="003608E8" w:rsidRDefault="003608E8" w:rsidP="00360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83EBC">
        <w:rPr>
          <w:color w:val="000000"/>
        </w:rPr>
        <w:t xml:space="preserve">В данной работе разрабатывается методика определения кинетических параметров </w:t>
      </w:r>
      <w:r w:rsidR="00383EBC" w:rsidRPr="00383EBC">
        <w:rPr>
          <w:color w:val="000000"/>
          <w:lang w:val="en-US"/>
        </w:rPr>
        <w:t>L</w:t>
      </w:r>
      <w:r w:rsidR="00383EBC" w:rsidRPr="00383EBC">
        <w:rPr>
          <w:color w:val="000000"/>
        </w:rPr>
        <w:t xml:space="preserve">-Аргиназы из </w:t>
      </w:r>
      <w:r w:rsidR="00CE34AC">
        <w:rPr>
          <w:i/>
          <w:color w:val="000000"/>
        </w:rPr>
        <w:t>B.</w:t>
      </w:r>
      <w:r w:rsidR="001153C1">
        <w:rPr>
          <w:i/>
          <w:color w:val="000000"/>
        </w:rPr>
        <w:t xml:space="preserve"> </w:t>
      </w:r>
      <w:r w:rsidR="00383EBC" w:rsidRPr="00383EBC">
        <w:rPr>
          <w:i/>
          <w:color w:val="000000"/>
        </w:rPr>
        <w:t>taurus</w:t>
      </w:r>
      <w:r>
        <w:rPr>
          <w:color w:val="000000"/>
        </w:rPr>
        <w:t xml:space="preserve"> с помощью ИК-Фурье спектроскопии</w:t>
      </w:r>
      <w:r w:rsidRPr="00C24B26">
        <w:rPr>
          <w:color w:val="000000"/>
        </w:rPr>
        <w:t>.</w:t>
      </w:r>
      <w:r>
        <w:rPr>
          <w:color w:val="000000"/>
        </w:rPr>
        <w:t xml:space="preserve"> Этот метод позволит в дальнейшем изучать структуру фермента, оптимизировать его активность, время жизни и иммуногенность для клинического применения.</w:t>
      </w:r>
    </w:p>
    <w:p w14:paraId="51D330CB" w14:textId="62E43DFF" w:rsidR="003608E8" w:rsidRPr="00EC6C84" w:rsidRDefault="003608E8" w:rsidP="00360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 регистрировали ИК-спектры чистых растворов субстрата (</w:t>
      </w:r>
      <w:r>
        <w:rPr>
          <w:color w:val="000000"/>
          <w:lang w:val="en-US"/>
        </w:rPr>
        <w:t>L</w:t>
      </w:r>
      <w:r w:rsidRPr="003608E8">
        <w:rPr>
          <w:color w:val="000000"/>
        </w:rPr>
        <w:t>-</w:t>
      </w:r>
      <w:r>
        <w:rPr>
          <w:color w:val="000000"/>
        </w:rPr>
        <w:t>аргинина) и продукта (</w:t>
      </w:r>
      <w:r>
        <w:rPr>
          <w:color w:val="000000"/>
          <w:lang w:val="en-US"/>
        </w:rPr>
        <w:t>L</w:t>
      </w:r>
      <w:r w:rsidRPr="003608E8">
        <w:rPr>
          <w:color w:val="000000"/>
        </w:rPr>
        <w:t>-</w:t>
      </w:r>
      <w:r>
        <w:rPr>
          <w:color w:val="000000"/>
        </w:rPr>
        <w:t>орнитина)</w:t>
      </w:r>
      <w:r w:rsidR="003658B1">
        <w:rPr>
          <w:color w:val="000000"/>
        </w:rPr>
        <w:t xml:space="preserve"> в диапазоне концентраций от 1 до 20 мМ</w:t>
      </w:r>
      <w:r w:rsidR="00383EBC">
        <w:rPr>
          <w:color w:val="000000"/>
        </w:rPr>
        <w:t xml:space="preserve">. </w:t>
      </w:r>
      <w:r w:rsidR="003F6022">
        <w:rPr>
          <w:color w:val="000000"/>
        </w:rPr>
        <w:t xml:space="preserve">Характеристические волновые числа, использованные для построения градуировки: </w:t>
      </w:r>
      <w:r w:rsidR="003F6022" w:rsidRPr="003F6022">
        <w:rPr>
          <w:color w:val="000000"/>
        </w:rPr>
        <w:t>1310</w:t>
      </w:r>
      <w:r w:rsidR="003F6022">
        <w:rPr>
          <w:color w:val="000000"/>
        </w:rPr>
        <w:t xml:space="preserve"> см</w:t>
      </w:r>
      <w:r w:rsidR="003F6022" w:rsidRPr="003F6022">
        <w:rPr>
          <w:color w:val="000000"/>
          <w:vertAlign w:val="superscript"/>
        </w:rPr>
        <w:t>-1</w:t>
      </w:r>
      <w:r w:rsidR="003F6022" w:rsidRPr="003F6022">
        <w:rPr>
          <w:color w:val="000000"/>
        </w:rPr>
        <w:t>, 1422</w:t>
      </w:r>
      <w:r w:rsidR="003F6022">
        <w:rPr>
          <w:color w:val="000000"/>
        </w:rPr>
        <w:t xml:space="preserve"> см</w:t>
      </w:r>
      <w:r w:rsidR="003F6022" w:rsidRPr="003F6022">
        <w:rPr>
          <w:color w:val="000000"/>
          <w:vertAlign w:val="superscript"/>
        </w:rPr>
        <w:t>-1</w:t>
      </w:r>
      <w:r w:rsidR="003F6022" w:rsidRPr="003F6022">
        <w:rPr>
          <w:color w:val="000000"/>
        </w:rPr>
        <w:t>, 1654</w:t>
      </w:r>
      <w:r w:rsidR="003F6022">
        <w:rPr>
          <w:color w:val="000000"/>
        </w:rPr>
        <w:t xml:space="preserve"> см</w:t>
      </w:r>
      <w:r w:rsidR="003F6022" w:rsidRPr="003F6022">
        <w:rPr>
          <w:color w:val="000000"/>
          <w:vertAlign w:val="superscript"/>
        </w:rPr>
        <w:t>-1</w:t>
      </w:r>
      <w:r w:rsidR="003F6022">
        <w:rPr>
          <w:color w:val="000000"/>
        </w:rPr>
        <w:t xml:space="preserve">. </w:t>
      </w:r>
      <w:r w:rsidR="00603685">
        <w:rPr>
          <w:color w:val="000000"/>
        </w:rPr>
        <w:t>Данные</w:t>
      </w:r>
      <w:r w:rsidR="00383EBC">
        <w:rPr>
          <w:color w:val="000000"/>
        </w:rPr>
        <w:t xml:space="preserve"> волновые числа соответствуют амидной </w:t>
      </w:r>
      <w:r w:rsidR="00603685">
        <w:rPr>
          <w:color w:val="000000"/>
        </w:rPr>
        <w:t>группе и аминогруппе</w:t>
      </w:r>
      <w:r w:rsidR="00383EBC">
        <w:rPr>
          <w:color w:val="000000"/>
        </w:rPr>
        <w:t xml:space="preserve">. </w:t>
      </w:r>
      <w:r>
        <w:rPr>
          <w:color w:val="000000"/>
        </w:rPr>
        <w:t xml:space="preserve">Измерение активности аргиназы проводили в 0.05 М натрий-боратном буфере при </w:t>
      </w:r>
      <w:r>
        <w:rPr>
          <w:color w:val="000000"/>
          <w:lang w:val="en-US"/>
        </w:rPr>
        <w:t>pH</w:t>
      </w:r>
      <w:r w:rsidR="003658B1">
        <w:rPr>
          <w:color w:val="000000"/>
        </w:rPr>
        <w:t xml:space="preserve"> = 9.0 </w:t>
      </w:r>
      <w:r>
        <w:rPr>
          <w:color w:val="000000"/>
        </w:rPr>
        <w:t xml:space="preserve">и температуре </w:t>
      </w:r>
      <w:r>
        <w:rPr>
          <w:color w:val="000000"/>
          <w:lang w:val="en-US"/>
        </w:rPr>
        <w:t>T</w:t>
      </w:r>
      <w:r w:rsidRPr="003608E8">
        <w:rPr>
          <w:color w:val="000000"/>
        </w:rPr>
        <w:t xml:space="preserve"> = 37 </w:t>
      </w:r>
      <w:r>
        <w:rPr>
          <w:color w:val="000000"/>
        </w:rPr>
        <w:t>°</w:t>
      </w:r>
      <w:r>
        <w:rPr>
          <w:color w:val="000000"/>
          <w:lang w:val="en-US"/>
        </w:rPr>
        <w:t>C</w:t>
      </w:r>
      <w:r w:rsidRPr="003608E8">
        <w:rPr>
          <w:color w:val="000000"/>
        </w:rPr>
        <w:t>.</w:t>
      </w:r>
      <w:r w:rsidR="003658B1">
        <w:rPr>
          <w:color w:val="000000"/>
        </w:rPr>
        <w:t xml:space="preserve"> </w:t>
      </w:r>
    </w:p>
    <w:p w14:paraId="25127B70" w14:textId="723FB496" w:rsidR="003608E8" w:rsidRPr="003608E8" w:rsidRDefault="00383EBC" w:rsidP="00360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</w:t>
      </w:r>
      <w:r w:rsidR="003608E8">
        <w:rPr>
          <w:color w:val="000000"/>
        </w:rPr>
        <w:t xml:space="preserve">показано, что метод ИК-Фурье спектроскопии может быть использован для определения кинетических параметров аргиназы в водной среде. Для данного фермента определены константа Михаэлиса </w:t>
      </w:r>
      <w:r w:rsidR="003608E8">
        <w:rPr>
          <w:color w:val="000000"/>
          <w:lang w:val="en-US"/>
        </w:rPr>
        <w:t>K</w:t>
      </w:r>
      <w:r w:rsidR="003608E8">
        <w:rPr>
          <w:color w:val="000000"/>
          <w:vertAlign w:val="subscript"/>
          <w:lang w:val="en-US"/>
        </w:rPr>
        <w:t>m</w:t>
      </w:r>
      <w:r w:rsidR="003608E8" w:rsidRPr="003608E8">
        <w:rPr>
          <w:color w:val="000000"/>
        </w:rPr>
        <w:t xml:space="preserve"> = </w:t>
      </w:r>
      <w:r w:rsidR="003608E8">
        <w:rPr>
          <w:color w:val="000000"/>
        </w:rPr>
        <w:t xml:space="preserve">0.8 ± 0.3 мМ и максимальная скорость реакции </w:t>
      </w:r>
      <w:r w:rsidR="00EC6C84">
        <w:rPr>
          <w:color w:val="000000"/>
          <w:lang w:val="en-US"/>
        </w:rPr>
        <w:t>V</w:t>
      </w:r>
      <w:bookmarkStart w:id="0" w:name="_GoBack"/>
      <w:bookmarkEnd w:id="0"/>
      <w:r w:rsidR="003608E8">
        <w:rPr>
          <w:color w:val="000000"/>
          <w:vertAlign w:val="subscript"/>
          <w:lang w:val="en-US"/>
        </w:rPr>
        <w:t>max</w:t>
      </w:r>
      <w:r w:rsidR="003608E8" w:rsidRPr="003608E8">
        <w:rPr>
          <w:color w:val="000000"/>
        </w:rPr>
        <w:t xml:space="preserve"> = 6.9 </w:t>
      </w:r>
      <w:r w:rsidR="003608E8">
        <w:rPr>
          <w:color w:val="000000"/>
        </w:rPr>
        <w:t>±</w:t>
      </w:r>
      <w:r w:rsidR="003608E8" w:rsidRPr="003608E8">
        <w:rPr>
          <w:color w:val="000000"/>
        </w:rPr>
        <w:t xml:space="preserve"> 1.7 </w:t>
      </w:r>
      <w:r w:rsidR="003608E8">
        <w:rPr>
          <w:color w:val="000000"/>
        </w:rPr>
        <w:t>мМ∙мин</w:t>
      </w:r>
      <w:r w:rsidR="003608E8" w:rsidRPr="003608E8">
        <w:rPr>
          <w:color w:val="000000"/>
          <w:vertAlign w:val="superscript"/>
        </w:rPr>
        <w:t>-1</w:t>
      </w:r>
      <w:r w:rsidR="003F6022">
        <w:rPr>
          <w:color w:val="000000"/>
        </w:rPr>
        <w:t xml:space="preserve"> (</w:t>
      </w:r>
      <w:r w:rsidR="003658B1">
        <w:rPr>
          <w:color w:val="000000"/>
        </w:rPr>
        <w:t xml:space="preserve">при начальной концентрации фермента </w:t>
      </w:r>
      <w:r w:rsidR="003658B1" w:rsidRPr="003658B1">
        <w:rPr>
          <w:color w:val="000000"/>
        </w:rPr>
        <w:t>[</w:t>
      </w:r>
      <w:r w:rsidR="003658B1">
        <w:rPr>
          <w:color w:val="000000"/>
          <w:lang w:val="en-US"/>
        </w:rPr>
        <w:t>E</w:t>
      </w:r>
      <w:r w:rsidR="003658B1" w:rsidRPr="003658B1">
        <w:rPr>
          <w:color w:val="000000"/>
        </w:rPr>
        <w:t>]</w:t>
      </w:r>
      <w:r w:rsidR="003658B1" w:rsidRPr="003658B1">
        <w:rPr>
          <w:color w:val="000000"/>
          <w:vertAlign w:val="subscript"/>
        </w:rPr>
        <w:t>0</w:t>
      </w:r>
      <w:r w:rsidR="003658B1">
        <w:rPr>
          <w:color w:val="000000"/>
        </w:rPr>
        <w:t xml:space="preserve"> = 0.0425 мг∙мл</w:t>
      </w:r>
      <w:r w:rsidR="003658B1" w:rsidRPr="003608E8">
        <w:rPr>
          <w:color w:val="000000"/>
          <w:vertAlign w:val="superscript"/>
        </w:rPr>
        <w:t>-1</w:t>
      </w:r>
      <w:r w:rsidR="003658B1" w:rsidRPr="003658B1">
        <w:rPr>
          <w:color w:val="000000"/>
        </w:rPr>
        <w:t>)</w:t>
      </w:r>
      <w:r w:rsidR="003608E8">
        <w:rPr>
          <w:color w:val="000000"/>
        </w:rPr>
        <w:t>.</w:t>
      </w:r>
    </w:p>
    <w:p w14:paraId="1F60EB77" w14:textId="538F3A96" w:rsidR="004A26A3" w:rsidRPr="00383EBC" w:rsidRDefault="00EB1F49" w:rsidP="00E41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302AA444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83EBC">
        <w:rPr>
          <w:color w:val="000000"/>
          <w:lang w:val="en-US"/>
        </w:rPr>
        <w:t xml:space="preserve">1. </w:t>
      </w:r>
      <w:r w:rsidR="00D63D34">
        <w:rPr>
          <w:color w:val="000000"/>
          <w:lang w:val="en-US"/>
        </w:rPr>
        <w:t>Prasad</w:t>
      </w:r>
      <w:r w:rsidR="001153C1" w:rsidRPr="001153C1">
        <w:rPr>
          <w:color w:val="000000"/>
          <w:lang w:val="en-US"/>
        </w:rPr>
        <w:t xml:space="preserve"> </w:t>
      </w:r>
      <w:r w:rsidR="001153C1">
        <w:rPr>
          <w:color w:val="000000"/>
          <w:lang w:val="en-US"/>
        </w:rPr>
        <w:t>Y.R.</w:t>
      </w:r>
      <w:r w:rsidR="00D63D34" w:rsidRPr="00383EBC">
        <w:rPr>
          <w:color w:val="000000"/>
          <w:lang w:val="en-US"/>
        </w:rPr>
        <w:t xml:space="preserve">, </w:t>
      </w:r>
      <w:r w:rsidR="00D63D34">
        <w:rPr>
          <w:color w:val="000000"/>
          <w:lang w:val="en-US"/>
        </w:rPr>
        <w:t>Anakha</w:t>
      </w:r>
      <w:r w:rsidR="001153C1">
        <w:rPr>
          <w:color w:val="000000"/>
          <w:lang w:val="en-US"/>
        </w:rPr>
        <w:t xml:space="preserve"> J.</w:t>
      </w:r>
      <w:r w:rsidR="00D63D34" w:rsidRPr="00383EBC">
        <w:rPr>
          <w:color w:val="000000"/>
          <w:lang w:val="en-US"/>
        </w:rPr>
        <w:t xml:space="preserve">, </w:t>
      </w:r>
      <w:r w:rsidR="00D63D34">
        <w:rPr>
          <w:color w:val="000000"/>
          <w:lang w:val="en-US"/>
        </w:rPr>
        <w:t>Pande</w:t>
      </w:r>
      <w:r w:rsidR="001153C1">
        <w:rPr>
          <w:color w:val="000000"/>
          <w:lang w:val="en-US"/>
        </w:rPr>
        <w:t xml:space="preserve"> A.H</w:t>
      </w:r>
      <w:r w:rsidR="00D63D34" w:rsidRPr="00383EBC">
        <w:rPr>
          <w:color w:val="000000"/>
          <w:lang w:val="en-US"/>
        </w:rPr>
        <w:t xml:space="preserve">. </w:t>
      </w:r>
      <w:r w:rsidR="00D63D34">
        <w:rPr>
          <w:color w:val="000000"/>
          <w:lang w:val="en-US"/>
        </w:rPr>
        <w:t>Treating liver cancer through arginine depletion // Drug Discovery Today. 2024. Vol. 24. P. 10</w:t>
      </w:r>
      <w:r w:rsidR="00116478" w:rsidRPr="00E81D35">
        <w:rPr>
          <w:color w:val="000000"/>
          <w:lang w:val="en-US"/>
        </w:rPr>
        <w:t>3</w:t>
      </w:r>
      <w:r w:rsidR="00D63D34">
        <w:rPr>
          <w:color w:val="000000"/>
          <w:lang w:val="en-US"/>
        </w:rPr>
        <w:t>9-1040</w:t>
      </w:r>
      <w:r w:rsidR="00116478" w:rsidRPr="00E81D35">
        <w:rPr>
          <w:color w:val="000000"/>
          <w:lang w:val="en-US"/>
        </w:rPr>
        <w:t>.</w:t>
      </w:r>
    </w:p>
    <w:p w14:paraId="7D289A78" w14:textId="1FE76505" w:rsidR="000C587C" w:rsidRPr="001153C1" w:rsidRDefault="00D63D34" w:rsidP="000C58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2</w:t>
      </w:r>
      <w:r w:rsidRPr="00E81D35">
        <w:rPr>
          <w:color w:val="000000"/>
          <w:lang w:val="en-US"/>
        </w:rPr>
        <w:t xml:space="preserve">. </w:t>
      </w:r>
      <w:r w:rsidR="000C587C">
        <w:rPr>
          <w:color w:val="000000"/>
          <w:lang w:val="en-US"/>
        </w:rPr>
        <w:t>Niu</w:t>
      </w:r>
      <w:r w:rsidR="001153C1">
        <w:rPr>
          <w:color w:val="000000"/>
          <w:lang w:val="en-US"/>
        </w:rPr>
        <w:t xml:space="preserve"> F., </w:t>
      </w:r>
      <w:r w:rsidR="000C587C">
        <w:rPr>
          <w:color w:val="000000"/>
          <w:lang w:val="en-US"/>
        </w:rPr>
        <w:t>Yu</w:t>
      </w:r>
      <w:r w:rsidR="001153C1">
        <w:rPr>
          <w:color w:val="000000"/>
          <w:lang w:val="en-US"/>
        </w:rPr>
        <w:t xml:space="preserve"> Y., </w:t>
      </w:r>
      <w:r w:rsidR="000C587C">
        <w:rPr>
          <w:color w:val="000000"/>
          <w:lang w:val="en-US"/>
        </w:rPr>
        <w:t>Li</w:t>
      </w:r>
      <w:r w:rsidR="001153C1">
        <w:rPr>
          <w:color w:val="000000"/>
          <w:lang w:val="en-US"/>
        </w:rPr>
        <w:t xml:space="preserve"> Z.</w:t>
      </w:r>
      <w:r w:rsidR="000C587C">
        <w:rPr>
          <w:color w:val="000000"/>
          <w:lang w:val="en-US"/>
        </w:rPr>
        <w:t xml:space="preserve"> et al. Arginase</w:t>
      </w:r>
      <w:r w:rsidR="000C587C" w:rsidRPr="000C587C">
        <w:rPr>
          <w:color w:val="000000"/>
          <w:lang w:val="en-US"/>
        </w:rPr>
        <w:t xml:space="preserve">: </w:t>
      </w:r>
      <w:r w:rsidR="000C587C">
        <w:rPr>
          <w:color w:val="000000"/>
          <w:lang w:val="en-US"/>
        </w:rPr>
        <w:t>An emerging and promising therapeutic target for cancer treatment // Biomedicine &amp; Pharmacotherapy. 2022. Vol. 149. P. 1128-11</w:t>
      </w:r>
      <w:r>
        <w:rPr>
          <w:color w:val="000000"/>
          <w:lang w:val="en-US"/>
        </w:rPr>
        <w:t>40</w:t>
      </w:r>
      <w:r w:rsidRPr="00E81D35">
        <w:rPr>
          <w:color w:val="000000"/>
          <w:lang w:val="en-US"/>
        </w:rPr>
        <w:t>.</w:t>
      </w:r>
    </w:p>
    <w:sectPr w:rsidR="000C587C" w:rsidRPr="001153C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587C"/>
    <w:rsid w:val="000E334E"/>
    <w:rsid w:val="00101A1C"/>
    <w:rsid w:val="00103657"/>
    <w:rsid w:val="00106375"/>
    <w:rsid w:val="00107AA3"/>
    <w:rsid w:val="001153C1"/>
    <w:rsid w:val="00116478"/>
    <w:rsid w:val="00130241"/>
    <w:rsid w:val="0017456B"/>
    <w:rsid w:val="001E61C2"/>
    <w:rsid w:val="001F0493"/>
    <w:rsid w:val="0022260A"/>
    <w:rsid w:val="002264EE"/>
    <w:rsid w:val="0023307C"/>
    <w:rsid w:val="0031361E"/>
    <w:rsid w:val="003608E8"/>
    <w:rsid w:val="003658B1"/>
    <w:rsid w:val="00383EBC"/>
    <w:rsid w:val="00391C38"/>
    <w:rsid w:val="003B76D6"/>
    <w:rsid w:val="003E2601"/>
    <w:rsid w:val="003F4E6B"/>
    <w:rsid w:val="003F6022"/>
    <w:rsid w:val="004A26A3"/>
    <w:rsid w:val="004F0EDF"/>
    <w:rsid w:val="00522BF1"/>
    <w:rsid w:val="00565E81"/>
    <w:rsid w:val="00590166"/>
    <w:rsid w:val="005D022B"/>
    <w:rsid w:val="005E5BE9"/>
    <w:rsid w:val="00603685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227B"/>
    <w:rsid w:val="00A314FE"/>
    <w:rsid w:val="00A4135A"/>
    <w:rsid w:val="00AD7380"/>
    <w:rsid w:val="00B76629"/>
    <w:rsid w:val="00BF36F8"/>
    <w:rsid w:val="00BF4622"/>
    <w:rsid w:val="00C24B26"/>
    <w:rsid w:val="00C844E2"/>
    <w:rsid w:val="00CD00B1"/>
    <w:rsid w:val="00CE34AC"/>
    <w:rsid w:val="00D22306"/>
    <w:rsid w:val="00D42542"/>
    <w:rsid w:val="00D63D34"/>
    <w:rsid w:val="00D8121C"/>
    <w:rsid w:val="00E22189"/>
    <w:rsid w:val="00E41AF1"/>
    <w:rsid w:val="00E74069"/>
    <w:rsid w:val="00E81D35"/>
    <w:rsid w:val="00EB1F49"/>
    <w:rsid w:val="00EC6C8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12684C-9D83-4F02-8B6C-692B86AB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Данила Амелин</cp:lastModifiedBy>
  <cp:revision>7</cp:revision>
  <dcterms:created xsi:type="dcterms:W3CDTF">2025-03-16T19:27:00Z</dcterms:created>
  <dcterms:modified xsi:type="dcterms:W3CDTF">2025-03-20T15:40:00Z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