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35A6B303" w:rsidR="00044321" w:rsidRDefault="008C59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Определение антибиотикорезистентности с использованием сочетания тетразолиевых красителей и спектроскопии комбинационного рассеяния</w:t>
      </w:r>
    </w:p>
    <w:p w14:paraId="00000002" w14:textId="77777777" w:rsidR="00044321" w:rsidRDefault="008C59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Мушенков В.А.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 Кукушкин В.И.</w:t>
      </w:r>
      <w:r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, Завьялова Е.Г.</w:t>
      </w:r>
      <w:r>
        <w:rPr>
          <w:b/>
          <w:i/>
          <w:color w:val="000000"/>
          <w:vertAlign w:val="superscript"/>
        </w:rPr>
        <w:t>1</w:t>
      </w:r>
      <w:r>
        <w:rPr>
          <w:b/>
          <w:color w:val="000000"/>
        </w:rPr>
        <w:t xml:space="preserve"> </w:t>
      </w:r>
    </w:p>
    <w:p w14:paraId="00000003" w14:textId="77777777" w:rsidR="00044321" w:rsidRDefault="008C59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6 курс специалитета </w:t>
      </w:r>
    </w:p>
    <w:p w14:paraId="00000004" w14:textId="77777777" w:rsidR="00044321" w:rsidRDefault="008C59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 xml:space="preserve">Московский государственный университет имени М.В. Ломоносова, </w:t>
      </w:r>
      <w:r>
        <w:rPr>
          <w:i/>
          <w:color w:val="000000"/>
        </w:rPr>
        <w:br/>
        <w:t xml:space="preserve">химический факультет, Москва, Россия </w:t>
      </w:r>
    </w:p>
    <w:p w14:paraId="00000005" w14:textId="4D764DF9" w:rsidR="00044321" w:rsidRDefault="008C59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>Институт физики твердого тела имени Ю.А. Осипьяна Российской академии наук, Черноголовка, Россия</w:t>
      </w:r>
    </w:p>
    <w:p w14:paraId="00000006" w14:textId="77777777" w:rsidR="00044321" w:rsidRPr="008C595E" w:rsidRDefault="008C59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8C595E">
        <w:rPr>
          <w:i/>
          <w:color w:val="000000"/>
          <w:lang w:val="en-US"/>
        </w:rPr>
        <w:t xml:space="preserve">E-mail: </w:t>
      </w:r>
      <w:r w:rsidRPr="008C595E">
        <w:rPr>
          <w:i/>
          <w:u w:val="single"/>
          <w:lang w:val="en-US"/>
        </w:rPr>
        <w:t>vladimir.mushenkov@mail.ru</w:t>
      </w:r>
    </w:p>
    <w:p w14:paraId="00000009" w14:textId="769A2C15" w:rsidR="00044321" w:rsidRPr="006312E9" w:rsidRDefault="008C595E" w:rsidP="001F48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Антибиотикорезистентность является одной из наиболее важных проблем современной медицины. Резистентные и мультирезистентные штаммы, к примеру метициллин – резистентный золотистый стафилококк, вызывают трудноизлечимые заболевания с высоким риском летального исхода. Однако тяжелые течения бактериальных инфекций не всегда связаны с отсутствием эффективно действующего антибиотика – нередко применяются эмпирические схемы лечения, не основанные на данных о чувствительности патогена, вследствие низкой скорости методов анализа антибиотикорезистентности.</w:t>
      </w:r>
      <w:r w:rsidR="001F4872">
        <w:rPr>
          <w:color w:val="000000"/>
        </w:rPr>
        <w:t xml:space="preserve"> </w:t>
      </w:r>
      <w:r>
        <w:rPr>
          <w:color w:val="000000"/>
        </w:rPr>
        <w:t>Золотым стандартом определения антибиотикорезистентности остаются фенотипические культуральные методы, требующие в среднем от 24 часов для получения результата.</w:t>
      </w:r>
      <w:r w:rsidR="001F4872">
        <w:rPr>
          <w:color w:val="000000"/>
        </w:rPr>
        <w:t xml:space="preserve"> </w:t>
      </w:r>
      <w:r>
        <w:rPr>
          <w:color w:val="000000"/>
        </w:rPr>
        <w:t>Ранее нами был разработан метод определения антибиотикорезистентности, использующий МТТ – тест для оценки метаболической активности бактерий и влияния антибиотика на неё [1]. МТТ – тест основан на ферментативной реакции восстановления тетразолиевого красителя МТТ в формазан. Активность восстанавливающих МТТ ферментов, и как следствие скорость реакции, сильно зависят от метаболической активности клетки</w:t>
      </w:r>
      <w:r w:rsidR="001F4872">
        <w:rPr>
          <w:color w:val="000000"/>
        </w:rPr>
        <w:t>, и её подавление антибиотиком приводит к снижению концентрации формазана</w:t>
      </w:r>
      <w:r>
        <w:rPr>
          <w:color w:val="000000"/>
        </w:rPr>
        <w:t xml:space="preserve">. Для специфичного определения формазана в бактериях нами был применён метод спектроскопии комбинационного рассеяния, позволяющий определить формазан без влияния других компонентов среды на точность анализа. Разработанный метод позволяет в течение 1-2 часов получить результаты об устойчивости исследуемого штамма, показывая высокую сходимость с </w:t>
      </w:r>
      <w:r w:rsidRPr="006312E9">
        <w:rPr>
          <w:color w:val="000000"/>
        </w:rPr>
        <w:t xml:space="preserve">результатами культуральных методов, однако в случае грамположительных бактерий точность </w:t>
      </w:r>
      <w:r w:rsidR="00F8564E" w:rsidRPr="006312E9">
        <w:rPr>
          <w:color w:val="000000"/>
        </w:rPr>
        <w:t xml:space="preserve">оказалась </w:t>
      </w:r>
      <w:r w:rsidRPr="006312E9">
        <w:rPr>
          <w:color w:val="000000"/>
        </w:rPr>
        <w:t xml:space="preserve">ниже. </w:t>
      </w:r>
      <w:r w:rsidR="00612A95" w:rsidRPr="006312E9">
        <w:rPr>
          <w:color w:val="000000"/>
        </w:rPr>
        <w:t>Так, при добавлении антибиотика в отдельных случаях наблюдалось повышение сигнала формазана вместо ожидаемого снижения</w:t>
      </w:r>
      <w:r w:rsidR="00CA6566" w:rsidRPr="006312E9">
        <w:rPr>
          <w:color w:val="000000"/>
        </w:rPr>
        <w:t>, либо снижение сигнала формазана наблюдалось в концентрации, сильно превышающей ингибирующую</w:t>
      </w:r>
      <w:r w:rsidR="00612A95" w:rsidRPr="006312E9">
        <w:rPr>
          <w:color w:val="000000"/>
        </w:rPr>
        <w:t xml:space="preserve">. </w:t>
      </w:r>
      <w:r w:rsidRPr="006312E9">
        <w:rPr>
          <w:color w:val="000000"/>
        </w:rPr>
        <w:t>Одной из возможных причин ошибок является механизм восстановления МТТ внутри клеток. В данной работе мы предложили тетразолиевые соли XTT и WST-8</w:t>
      </w:r>
      <w:r w:rsidR="00F35100" w:rsidRPr="006312E9">
        <w:rPr>
          <w:color w:val="000000"/>
        </w:rPr>
        <w:t>, имеющие другой механизм восстановления,</w:t>
      </w:r>
      <w:r w:rsidRPr="006312E9">
        <w:rPr>
          <w:color w:val="000000"/>
        </w:rPr>
        <w:t xml:space="preserve"> в качестве альтернативы МТТ для определения антибиотикорезистентности</w:t>
      </w:r>
      <w:r w:rsidR="00F0005D" w:rsidRPr="006312E9">
        <w:rPr>
          <w:color w:val="000000"/>
        </w:rPr>
        <w:t>.</w:t>
      </w:r>
      <w:r w:rsidRPr="006312E9">
        <w:rPr>
          <w:color w:val="000000"/>
        </w:rPr>
        <w:t xml:space="preserve"> оптимизировали метод для использования </w:t>
      </w:r>
      <w:r w:rsidR="00963DBA">
        <w:rPr>
          <w:color w:val="000000"/>
        </w:rPr>
        <w:t>этих</w:t>
      </w:r>
      <w:r w:rsidRPr="006312E9">
        <w:rPr>
          <w:color w:val="000000"/>
        </w:rPr>
        <w:t xml:space="preserve"> тетразолов</w:t>
      </w:r>
      <w:r w:rsidR="00B243A6" w:rsidRPr="006312E9">
        <w:rPr>
          <w:color w:val="000000"/>
        </w:rPr>
        <w:t xml:space="preserve">, </w:t>
      </w:r>
      <w:r w:rsidRPr="006312E9">
        <w:rPr>
          <w:color w:val="000000"/>
        </w:rPr>
        <w:t>и сравнили точность результатов с МТТ – тестом.</w:t>
      </w:r>
      <w:r w:rsidR="00F0005D" w:rsidRPr="006312E9">
        <w:rPr>
          <w:color w:val="000000"/>
        </w:rPr>
        <w:t xml:space="preserve"> </w:t>
      </w:r>
      <w:r w:rsidR="00CA6566" w:rsidRPr="006312E9">
        <w:rPr>
          <w:color w:val="000000"/>
        </w:rPr>
        <w:t xml:space="preserve">Интенсивность спектра </w:t>
      </w:r>
      <w:r w:rsidR="00CA6566" w:rsidRPr="006312E9">
        <w:rPr>
          <w:color w:val="000000"/>
          <w:lang w:val="en-US"/>
        </w:rPr>
        <w:t>XTT</w:t>
      </w:r>
      <w:r w:rsidR="00CA6566" w:rsidRPr="006312E9">
        <w:rPr>
          <w:color w:val="000000"/>
        </w:rPr>
        <w:t xml:space="preserve"> оказалась слишком низкой</w:t>
      </w:r>
      <w:r w:rsidR="00963DBA">
        <w:rPr>
          <w:color w:val="000000"/>
        </w:rPr>
        <w:t xml:space="preserve"> для его определения</w:t>
      </w:r>
      <w:r w:rsidR="00CA6566" w:rsidRPr="006312E9">
        <w:rPr>
          <w:color w:val="000000"/>
        </w:rPr>
        <w:t xml:space="preserve">, </w:t>
      </w:r>
      <w:r w:rsidR="00CA6566" w:rsidRPr="006312E9">
        <w:rPr>
          <w:color w:val="000000"/>
          <w:lang w:val="en-US"/>
        </w:rPr>
        <w:t>WST</w:t>
      </w:r>
      <w:r w:rsidR="00CA6566" w:rsidRPr="006312E9">
        <w:rPr>
          <w:color w:val="000000"/>
        </w:rPr>
        <w:t>-8 же, напротив, с высокой чувствительностью определялся как в чистом растворе, так и в бактериальной суспензии.</w:t>
      </w:r>
      <w:r w:rsidR="00246A0E" w:rsidRPr="006312E9">
        <w:rPr>
          <w:color w:val="000000"/>
        </w:rPr>
        <w:t xml:space="preserve"> </w:t>
      </w:r>
      <w:r w:rsidR="00765481" w:rsidRPr="006312E9">
        <w:rPr>
          <w:color w:val="000000"/>
          <w:lang w:val="en-US"/>
        </w:rPr>
        <w:t>WST</w:t>
      </w:r>
      <w:r w:rsidR="00765481" w:rsidRPr="006312E9">
        <w:rPr>
          <w:color w:val="000000"/>
        </w:rPr>
        <w:t xml:space="preserve">-8 был протестирован на различных штаммах </w:t>
      </w:r>
      <w:r w:rsidR="00765481" w:rsidRPr="006312E9">
        <w:rPr>
          <w:i/>
          <w:iCs/>
          <w:color w:val="000000"/>
          <w:lang w:val="en-US"/>
        </w:rPr>
        <w:t>S</w:t>
      </w:r>
      <w:r w:rsidR="00765481" w:rsidRPr="006312E9">
        <w:rPr>
          <w:i/>
          <w:iCs/>
          <w:color w:val="000000"/>
        </w:rPr>
        <w:t xml:space="preserve">. </w:t>
      </w:r>
      <w:r w:rsidR="00765481" w:rsidRPr="006312E9">
        <w:rPr>
          <w:i/>
          <w:iCs/>
          <w:color w:val="000000"/>
          <w:lang w:val="en-US"/>
        </w:rPr>
        <w:t>aureus</w:t>
      </w:r>
      <w:r w:rsidR="00765481" w:rsidRPr="006312E9">
        <w:rPr>
          <w:i/>
          <w:iCs/>
          <w:color w:val="000000"/>
        </w:rPr>
        <w:t xml:space="preserve">, </w:t>
      </w:r>
      <w:r w:rsidR="00765481" w:rsidRPr="006312E9">
        <w:rPr>
          <w:color w:val="000000"/>
        </w:rPr>
        <w:t xml:space="preserve">для которых он показывал </w:t>
      </w:r>
      <w:r w:rsidR="00976FCD" w:rsidRPr="006312E9">
        <w:rPr>
          <w:color w:val="000000"/>
        </w:rPr>
        <w:t>большую сходимость с табличными данными</w:t>
      </w:r>
      <w:r w:rsidR="00CA6566" w:rsidRPr="006312E9">
        <w:rPr>
          <w:color w:val="000000"/>
        </w:rPr>
        <w:t>, а</w:t>
      </w:r>
      <w:r w:rsidR="00F0005D" w:rsidRPr="006312E9">
        <w:rPr>
          <w:color w:val="000000"/>
        </w:rPr>
        <w:t xml:space="preserve"> повышения сигнала формазана</w:t>
      </w:r>
      <w:r w:rsidR="002557E3">
        <w:rPr>
          <w:color w:val="000000"/>
        </w:rPr>
        <w:t xml:space="preserve"> при добавлении антибиотика</w:t>
      </w:r>
      <w:r w:rsidR="00F0005D" w:rsidRPr="006312E9">
        <w:rPr>
          <w:color w:val="000000"/>
        </w:rPr>
        <w:t>, как в случае с МТТ, не происходило</w:t>
      </w:r>
      <w:r w:rsidR="00963DBA">
        <w:rPr>
          <w:color w:val="000000"/>
        </w:rPr>
        <w:t>.</w:t>
      </w:r>
    </w:p>
    <w:p w14:paraId="37BDD7F3" w14:textId="0912596D" w:rsidR="001F4872" w:rsidRDefault="008C595E" w:rsidP="001F4872">
      <w:pPr>
        <w:ind w:firstLine="397"/>
        <w:jc w:val="both"/>
        <w:rPr>
          <w:i/>
        </w:rPr>
      </w:pPr>
      <w:r w:rsidRPr="006312E9">
        <w:rPr>
          <w:i/>
          <w:color w:val="2C2D2E"/>
        </w:rPr>
        <w:t>Исследование выполнено за счет гранта Российского научного фонда № 24-65-00015, </w:t>
      </w:r>
      <w:hyperlink r:id="rId5">
        <w:r w:rsidRPr="006312E9">
          <w:rPr>
            <w:i/>
            <w:color w:val="0000FF"/>
            <w:u w:val="single"/>
          </w:rPr>
          <w:t>https://rscf.ru/project/24-65-00015/</w:t>
        </w:r>
      </w:hyperlink>
    </w:p>
    <w:p w14:paraId="55F4F1BD" w14:textId="77777777" w:rsidR="001F4872" w:rsidRPr="001F4872" w:rsidRDefault="001F4872" w:rsidP="001F4872">
      <w:pPr>
        <w:ind w:firstLine="397"/>
        <w:jc w:val="both"/>
        <w:rPr>
          <w:i/>
        </w:rPr>
      </w:pPr>
    </w:p>
    <w:p w14:paraId="0000000D" w14:textId="03324682" w:rsidR="00044321" w:rsidRDefault="008C595E" w:rsidP="00D235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0000000F" w14:textId="05634170" w:rsidR="00044321" w:rsidRPr="00F2478B" w:rsidRDefault="00F2478B" w:rsidP="00FB315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 w:rsidRPr="000C47D7">
        <w:rPr>
          <w:color w:val="000000"/>
          <w:lang w:val="en-US"/>
        </w:rPr>
        <w:t>1.</w:t>
      </w:r>
      <w:r w:rsidR="00D2350E" w:rsidRPr="000C47D7">
        <w:rPr>
          <w:color w:val="000000"/>
          <w:lang w:val="en-US"/>
        </w:rPr>
        <w:t xml:space="preserve"> </w:t>
      </w:r>
      <w:r w:rsidR="00D2350E" w:rsidRPr="00F2478B">
        <w:rPr>
          <w:color w:val="000000"/>
          <w:lang w:val="en-US"/>
        </w:rPr>
        <w:t>Mushenkov</w:t>
      </w:r>
      <w:r w:rsidR="000C47D7" w:rsidRPr="000C47D7">
        <w:rPr>
          <w:color w:val="000000"/>
          <w:lang w:val="en-US"/>
        </w:rPr>
        <w:t xml:space="preserve"> </w:t>
      </w:r>
      <w:r w:rsidR="000C47D7">
        <w:rPr>
          <w:color w:val="000000"/>
          <w:lang w:val="en-US"/>
        </w:rPr>
        <w:t>V.</w:t>
      </w:r>
      <w:r w:rsidR="00D2350E" w:rsidRPr="000C47D7">
        <w:rPr>
          <w:color w:val="000000"/>
          <w:lang w:val="en-US"/>
        </w:rPr>
        <w:t>,</w:t>
      </w:r>
      <w:r w:rsidR="000C47D7">
        <w:rPr>
          <w:color w:val="000000"/>
          <w:lang w:val="en-US"/>
        </w:rPr>
        <w:t xml:space="preserve"> </w:t>
      </w:r>
      <w:r w:rsidR="00D2350E" w:rsidRPr="00F2478B">
        <w:rPr>
          <w:color w:val="000000"/>
          <w:lang w:val="en-US"/>
        </w:rPr>
        <w:t>Zhigalova</w:t>
      </w:r>
      <w:r w:rsidR="000C47D7">
        <w:rPr>
          <w:color w:val="000000"/>
          <w:lang w:val="en-US"/>
        </w:rPr>
        <w:t xml:space="preserve"> K.</w:t>
      </w:r>
      <w:r w:rsidR="00D2350E" w:rsidRPr="000C47D7">
        <w:rPr>
          <w:color w:val="000000"/>
          <w:lang w:val="en-US"/>
        </w:rPr>
        <w:t xml:space="preserve">, </w:t>
      </w:r>
      <w:r w:rsidR="00D2350E" w:rsidRPr="00F2478B">
        <w:rPr>
          <w:color w:val="000000"/>
          <w:lang w:val="en-US"/>
        </w:rPr>
        <w:t>Denisov</w:t>
      </w:r>
      <w:r w:rsidR="000C47D7">
        <w:rPr>
          <w:color w:val="000000"/>
          <w:lang w:val="en-US"/>
        </w:rPr>
        <w:t xml:space="preserve"> P.</w:t>
      </w:r>
      <w:r w:rsidR="00D2350E" w:rsidRPr="000C47D7">
        <w:rPr>
          <w:color w:val="000000"/>
          <w:lang w:val="en-US"/>
        </w:rPr>
        <w:t xml:space="preserve">, </w:t>
      </w:r>
      <w:r w:rsidR="000C47D7">
        <w:rPr>
          <w:color w:val="000000"/>
          <w:lang w:val="en-US"/>
        </w:rPr>
        <w:t>G</w:t>
      </w:r>
      <w:r w:rsidR="00D2350E" w:rsidRPr="00F2478B">
        <w:rPr>
          <w:color w:val="000000"/>
          <w:lang w:val="en-US"/>
        </w:rPr>
        <w:t>ordeev</w:t>
      </w:r>
      <w:r w:rsidR="000C47D7">
        <w:rPr>
          <w:color w:val="000000"/>
          <w:lang w:val="en-US"/>
        </w:rPr>
        <w:t xml:space="preserve"> A.</w:t>
      </w:r>
      <w:r w:rsidR="00D2350E" w:rsidRPr="000C47D7">
        <w:rPr>
          <w:color w:val="000000"/>
          <w:lang w:val="en-US"/>
        </w:rPr>
        <w:t xml:space="preserve">, </w:t>
      </w:r>
      <w:r w:rsidR="00D2350E" w:rsidRPr="00F2478B">
        <w:rPr>
          <w:color w:val="000000"/>
          <w:lang w:val="en-US"/>
        </w:rPr>
        <w:t>Lukyanov</w:t>
      </w:r>
      <w:r w:rsidR="000C47D7">
        <w:rPr>
          <w:color w:val="000000"/>
          <w:lang w:val="en-US"/>
        </w:rPr>
        <w:t xml:space="preserve"> D.</w:t>
      </w:r>
      <w:r w:rsidR="00D2350E" w:rsidRPr="000C47D7">
        <w:rPr>
          <w:color w:val="000000"/>
          <w:lang w:val="en-US"/>
        </w:rPr>
        <w:t xml:space="preserve">, </w:t>
      </w:r>
      <w:r w:rsidR="00D2350E" w:rsidRPr="00F2478B">
        <w:rPr>
          <w:color w:val="000000"/>
          <w:lang w:val="en-US"/>
        </w:rPr>
        <w:t>Kukushkin</w:t>
      </w:r>
      <w:r w:rsidR="000C47D7">
        <w:rPr>
          <w:color w:val="000000"/>
          <w:lang w:val="en-US"/>
        </w:rPr>
        <w:t xml:space="preserve"> V.</w:t>
      </w:r>
      <w:r w:rsidR="00D2350E" w:rsidRPr="000C47D7">
        <w:rPr>
          <w:color w:val="000000"/>
          <w:lang w:val="en-US"/>
        </w:rPr>
        <w:t>,</w:t>
      </w:r>
      <w:r w:rsidR="000C47D7">
        <w:rPr>
          <w:color w:val="000000"/>
          <w:lang w:val="en-US"/>
        </w:rPr>
        <w:t xml:space="preserve"> </w:t>
      </w:r>
      <w:r w:rsidR="00D2350E" w:rsidRPr="00F2478B">
        <w:rPr>
          <w:color w:val="000000"/>
          <w:lang w:val="en-US"/>
        </w:rPr>
        <w:t>Priputnevich</w:t>
      </w:r>
      <w:r w:rsidR="000C47D7">
        <w:rPr>
          <w:color w:val="000000"/>
          <w:lang w:val="en-US"/>
        </w:rPr>
        <w:t xml:space="preserve"> T.,</w:t>
      </w:r>
      <w:r w:rsidR="00D2350E" w:rsidRPr="000C47D7">
        <w:rPr>
          <w:color w:val="000000"/>
          <w:lang w:val="en-US"/>
        </w:rPr>
        <w:t xml:space="preserve"> </w:t>
      </w:r>
      <w:r w:rsidR="00D2350E" w:rsidRPr="00F2478B">
        <w:rPr>
          <w:color w:val="000000"/>
          <w:lang w:val="en-US"/>
        </w:rPr>
        <w:t>Zavyalova</w:t>
      </w:r>
      <w:r w:rsidR="000C47D7">
        <w:rPr>
          <w:color w:val="000000"/>
          <w:lang w:val="en-US"/>
        </w:rPr>
        <w:t xml:space="preserve"> E</w:t>
      </w:r>
      <w:r w:rsidR="008C595E" w:rsidRPr="000C47D7">
        <w:rPr>
          <w:color w:val="000000"/>
          <w:lang w:val="en-US"/>
        </w:rPr>
        <w:t xml:space="preserve">. </w:t>
      </w:r>
      <w:r w:rsidR="008C595E" w:rsidRPr="00F2478B">
        <w:rPr>
          <w:color w:val="000000"/>
          <w:lang w:val="en-US"/>
        </w:rPr>
        <w:t>Rapid Raman spectroscopy-based test for antimicrobial resistance // Open Biol. 2025. Vol. 15</w:t>
      </w:r>
      <w:r w:rsidR="00AF0289">
        <w:rPr>
          <w:color w:val="000000"/>
          <w:lang w:val="en-US"/>
        </w:rPr>
        <w:t>.</w:t>
      </w:r>
      <w:r w:rsidR="008C595E" w:rsidRPr="00F2478B">
        <w:rPr>
          <w:color w:val="000000"/>
          <w:lang w:val="en-US"/>
        </w:rPr>
        <w:t xml:space="preserve"> 240258</w:t>
      </w:r>
      <w:r w:rsidR="00AF0289">
        <w:rPr>
          <w:color w:val="000000"/>
          <w:lang w:val="en-US"/>
        </w:rPr>
        <w:t>.</w:t>
      </w:r>
      <w:r w:rsidR="008C595E" w:rsidRPr="00F2478B">
        <w:rPr>
          <w:color w:val="000000"/>
          <w:lang w:val="en-US"/>
        </w:rPr>
        <w:t xml:space="preserve"> DOI: https://doi.org/10.1098/rsob.240258</w:t>
      </w:r>
    </w:p>
    <w:sectPr w:rsidR="00044321" w:rsidRPr="00F2478B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D70C1"/>
    <w:multiLevelType w:val="hybridMultilevel"/>
    <w:tmpl w:val="EE969452"/>
    <w:lvl w:ilvl="0" w:tplc="C870E7B0">
      <w:start w:val="1"/>
      <w:numFmt w:val="decimal"/>
      <w:lvlText w:val="%1."/>
      <w:lvlJc w:val="left"/>
      <w:pPr>
        <w:ind w:left="75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43DD42CD"/>
    <w:multiLevelType w:val="hybridMultilevel"/>
    <w:tmpl w:val="CAF4AFAA"/>
    <w:lvl w:ilvl="0" w:tplc="8B06E08A">
      <w:start w:val="1"/>
      <w:numFmt w:val="decimal"/>
      <w:lvlText w:val="%1."/>
      <w:lvlJc w:val="left"/>
      <w:pPr>
        <w:ind w:left="75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772213632">
    <w:abstractNumId w:val="0"/>
  </w:num>
  <w:num w:numId="2" w16cid:durableId="110244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321"/>
    <w:rsid w:val="00044321"/>
    <w:rsid w:val="00095F36"/>
    <w:rsid w:val="000C40CE"/>
    <w:rsid w:val="000C47D7"/>
    <w:rsid w:val="001F4872"/>
    <w:rsid w:val="00221FD9"/>
    <w:rsid w:val="00246A0E"/>
    <w:rsid w:val="002557E3"/>
    <w:rsid w:val="002D3513"/>
    <w:rsid w:val="00612A95"/>
    <w:rsid w:val="006312E9"/>
    <w:rsid w:val="0075171F"/>
    <w:rsid w:val="00765481"/>
    <w:rsid w:val="007D130A"/>
    <w:rsid w:val="007D1F1C"/>
    <w:rsid w:val="008C595E"/>
    <w:rsid w:val="009426A5"/>
    <w:rsid w:val="00963DBA"/>
    <w:rsid w:val="00976FCD"/>
    <w:rsid w:val="00AF0289"/>
    <w:rsid w:val="00B243A6"/>
    <w:rsid w:val="00B70BA1"/>
    <w:rsid w:val="00C637A7"/>
    <w:rsid w:val="00CA6566"/>
    <w:rsid w:val="00D2350E"/>
    <w:rsid w:val="00F0005D"/>
    <w:rsid w:val="00F2478B"/>
    <w:rsid w:val="00F35100"/>
    <w:rsid w:val="00F8564E"/>
    <w:rsid w:val="00FB0BF7"/>
    <w:rsid w:val="00FB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A19EE"/>
  <w15:docId w15:val="{8CFE7873-98ED-4FC7-B829-99FEEA7A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D2350E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2350E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D23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4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scf.ru/project/24-65-0001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Владимир Мушенков</cp:lastModifiedBy>
  <cp:revision>20</cp:revision>
  <dcterms:created xsi:type="dcterms:W3CDTF">2025-02-28T13:03:00Z</dcterms:created>
  <dcterms:modified xsi:type="dcterms:W3CDTF">2025-03-18T17:45:00Z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