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" ContentType="application/vnd.openxmlformats-package.core-properti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header1.xml" ContentType="application/vnd.openxmlformats-officedocument.wordprocessingml.header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 xmlns:wp14="http://schemas.microsoft.com/office/word/2010/wordprocessingDrawing" xmlns:wpi="http://schemas.microsoft.com/office/word/2010/wordprocessingInk" xmlns:aink="http://schemas.microsoft.com/office/drawing/2016/ink">
  <w:body>
    <w:p w14:paraId="00000001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pacing w:after="0" w:line="240" w:lineRule="auto"/>
        <w:ind w:firstLine="397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rtl w:val="off"/>
        </w:rPr>
        <w:t>Акридин как индикатор сборки G-квадруплексных ДНК</w:t>
      </w:r>
    </w:p>
    <w:p w14:paraId="00000002">
      <w:pPr>
        <w:spacing w:after="0" w:line="240" w:lineRule="auto"/>
        <w:ind w:firstLine="397"/>
        <w:jc w:val="center"/>
        <w:rPr>
          <w:rFonts w:ascii="Times New Roman" w:cs="Times New Roman" w:eastAsia="Times New Roman" w:hAnsi="Times New Roman"/>
          <w:b/>
          <w:i/>
          <w:sz w:val="24"/>
          <w:szCs w:val="24"/>
        </w:rPr>
      </w:pPr>
      <w:r>
        <w:rPr>
          <w:rFonts w:ascii="Times New Roman" w:cs="Times New Roman" w:eastAsia="Times New Roman" w:hAnsi="Times New Roman"/>
          <w:b/>
          <w:i/>
          <w:sz w:val="24"/>
          <w:szCs w:val="24"/>
          <w:rtl w:val="off"/>
        </w:rPr>
        <w:t>Мавров Д.И.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vertAlign w:val="superscript"/>
          <w:rtl w:val="off"/>
        </w:rPr>
        <w:t>1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rtl w:val="off"/>
        </w:rPr>
        <w:t>, Чуб А.С.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vertAlign w:val="superscript"/>
          <w:rtl w:val="off"/>
        </w:rPr>
        <w:t>1,2</w:t>
      </w:r>
    </w:p>
    <w:p w14:paraId="00000003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hd w:val="clear" w:fill="ffffff"/>
        <w:spacing w:after="0" w:line="240" w:lineRule="auto"/>
        <w:ind w:firstLine="397"/>
        <w:jc w:val="center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cs="Times New Roman" w:eastAsia="Times New Roman" w:hAnsi="Times New Roman"/>
          <w:i/>
          <w:color w:val="222222"/>
          <w:sz w:val="24"/>
          <w:szCs w:val="24"/>
          <w:rtl w:val="off"/>
        </w:rPr>
        <w:t>Студент, 2 курс специалитета</w:t>
      </w:r>
    </w:p>
    <w:p w14:paraId="00000004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hd w:val="clear" w:fill="ffffff"/>
        <w:spacing w:after="0" w:line="240" w:lineRule="auto"/>
        <w:ind w:firstLine="397"/>
        <w:jc w:val="center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cs="Times New Roman" w:eastAsia="Times New Roman" w:hAnsi="Times New Roman"/>
          <w:i/>
          <w:color w:val="000000"/>
          <w:sz w:val="24"/>
          <w:szCs w:val="24"/>
          <w:vertAlign w:val="superscript"/>
          <w:rtl w:val="off"/>
        </w:rPr>
        <w:t>1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  <w:rtl w:val="off"/>
        </w:rPr>
        <w:t>Московский государственный университет имени М.В. Ломоносова,</w:t>
      </w:r>
    </w:p>
    <w:p w14:paraId="00000005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hd w:val="clear" w:fill="ffffff"/>
        <w:spacing w:after="0" w:line="240" w:lineRule="auto"/>
        <w:ind w:firstLine="397"/>
        <w:jc w:val="center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cs="Times New Roman" w:eastAsia="Times New Roman" w:hAnsi="Times New Roman"/>
          <w:i/>
          <w:color w:val="000000"/>
          <w:sz w:val="24"/>
          <w:szCs w:val="24"/>
          <w:rtl w:val="off"/>
        </w:rPr>
        <w:t>химический факультет, 119991, Москва, Россия</w:t>
      </w:r>
    </w:p>
    <w:p w14:paraId="00000006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hd w:val="clear" w:fill="ffffff"/>
        <w:spacing w:after="0" w:line="240" w:lineRule="auto"/>
        <w:ind w:firstLine="397"/>
        <w:jc w:val="center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cs="Times New Roman" w:eastAsia="Times New Roman" w:hAnsi="Times New Roman"/>
          <w:i/>
          <w:color w:val="000000"/>
          <w:sz w:val="24"/>
          <w:szCs w:val="24"/>
          <w:vertAlign w:val="superscript"/>
          <w:rtl w:val="off"/>
        </w:rPr>
        <w:t>2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  <w:rtl w:val="off"/>
        </w:rPr>
        <w:t>Научно-исследовательский институт физико-химической биологии имени А.Н. Белозерского, 119234, Москва, Россия</w:t>
      </w:r>
    </w:p>
    <w:p w14:paraId="00000007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hd w:val="clear" w:fill="ffffff"/>
        <w:spacing w:after="0" w:line="240" w:lineRule="auto"/>
        <w:ind w:firstLine="397"/>
        <w:jc w:val="center"/>
        <w:rPr>
          <w:rFonts w:ascii="Times New Roman" w:cs="Times New Roman" w:eastAsia="Times New Roman" w:hAnsi="Times New Roman"/>
          <w:i/>
          <w:color w:val="222222"/>
          <w:sz w:val="24"/>
          <w:szCs w:val="24"/>
        </w:rPr>
      </w:pPr>
      <w:r>
        <w:rPr>
          <w:rFonts w:ascii="Times New Roman" w:cs="Times New Roman" w:eastAsia="Times New Roman" w:hAnsi="Times New Roman"/>
          <w:i/>
          <w:color w:val="222222"/>
          <w:sz w:val="24"/>
          <w:szCs w:val="24"/>
          <w:rtl w:val="off"/>
        </w:rPr>
        <w:t xml:space="preserve">E-mail: </w:t>
      </w:r>
      <w:r>
        <w:rPr>
          <w:rFonts w:ascii="Times New Roman" w:cs="Times New Roman" w:eastAsia="Times New Roman" w:hAnsi="Times New Roman"/>
          <w:i/>
          <w:color w:val="222222"/>
          <w:sz w:val="24"/>
          <w:szCs w:val="24"/>
          <w:u w:val="single"/>
          <w:rtl w:val="off"/>
        </w:rPr>
        <w:t>dm.mavrov@gmail.com</w:t>
      </w:r>
    </w:p>
    <w:p w14:paraId="00000008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pacing w:after="0" w:line="240" w:lineRule="auto"/>
        <w:ind w:firstLine="397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rtl w:val="off"/>
        </w:rPr>
        <w:t>G-квадруплексы (G4) - структура ДНК, которая образуют нуклеиновые кислоты посредством связывания гуаниновых оснований между собой Хугстиновскими водородными связями. Показано взаимодействие G4 с опухолевыми маркерами, поэтому G4 перспективны в качестве противоопухолевых агентов. Однако для сохранения антипролиферативной функции препарата важно выработать метод контроля его сборки.</w:t>
      </w:r>
    </w:p>
    <w:p w14:paraId="00000009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pacing w:after="0" w:line="240" w:lineRule="auto"/>
        <w:ind w:firstLine="39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rtl w:val="off"/>
        </w:rPr>
        <w:t>Одним из способов контроля сборки G4 в растворе является спектроскопия кругового дихроизма (КД), которая позволяет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rtl w:val="off"/>
        </w:rPr>
        <w:t xml:space="preserve"> определить топологию G4 и её относительную стабильность по значению молярной эллиптичности. В работе исследовали три различных образца G4 biG3T, обозначенные далее литерами А, Б, В. В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спектрах КД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rtl w:val="off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G4 biG3T, зарегистрированных при температуре 25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rtl w:val="off"/>
        </w:rPr>
        <w:t>°С наблюдались пики, характерные для параллельной конформации G4, однако для образцов А, Б и В значения молярной эллиптичности при длине волны 265 нм оказались разными (рис.1).</w:t>
      </w:r>
    </w:p>
    <w:p w14:paraId="0000000A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pacing w:after="0" w:line="240" w:lineRule="auto"/>
        <w:ind w:firstLine="397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i w:val="off"/>
          <w:iCs w:val="off"/>
          <w:color w:val="000000"/>
          <w:sz w:val="24"/>
          <w:szCs w:val="24"/>
          <w:rtl w:val="off"/>
        </w:rPr>
        <w:drawing xmlns:mc="http://schemas.openxmlformats.org/markup-compatibility/2006">
          <wp:anchor allowOverlap="1" behindDoc="0" distT="0" distB="0" distL="118872" distR="118872" layoutInCell="1" locked="0" relativeHeight="0" simplePos="0">
            <wp:simplePos x="0" y="0"/>
            <wp:positionH relativeFrom="margin">
              <wp:posOffset>1991995</wp:posOffset>
            </wp:positionH>
            <wp:positionV relativeFrom="margin">
              <wp:posOffset>3512820</wp:posOffset>
            </wp:positionV>
            <wp:extent cx="1638300" cy="1280795"/>
            <wp:effectExtent l="0" t="0" r="0" b="0"/>
            <wp:wrapTopAndBottom/>
            <wp:docPr id="57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.png"/>
                    <pic:cNvPicPr preferRelativeResize="0"/>
                  </pic:nvPicPr>
                  <pic:blipFill>
                    <a:blip r:embed="rId30"/>
                    <a:srcRect l="7315" t="8536" r="11626" b="3754"/>
                    <a:stretch/>
                  </pic:blipFill>
                  <pic:spPr>
                    <a:xfrm>
                      <a:off x="0" y="0"/>
                      <a:ext cx="16383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i w:val="off"/>
          <w:iCs w:val="off"/>
          <w:color w:val="000000"/>
          <w:sz w:val="24"/>
          <w:szCs w:val="24"/>
          <w:rtl w:val="off"/>
        </w:rPr>
        <w:t>Рис. 1.</w:t>
      </w:r>
      <w:r>
        <w:rPr>
          <w:rFonts w:ascii="Times New Roman" w:cs="Times New Roman" w:eastAsia="Times New Roman" w:hAnsi="Times New Roman"/>
          <w:b/>
          <w:i w:val="off"/>
          <w:iCs w:val="off"/>
          <w:color w:val="000000"/>
          <w:sz w:val="24"/>
          <w:szCs w:val="24"/>
          <w:rtl w:val="off"/>
        </w:rPr>
        <w:t xml:space="preserve"> </w:t>
      </w:r>
      <w:r>
        <w:rPr>
          <w:rFonts w:ascii="Times New Roman" w:cs="Times New Roman" w:eastAsia="Times New Roman" w:hAnsi="Times New Roman"/>
          <w:i w:val="off"/>
          <w:iCs w:val="off"/>
          <w:color w:val="000000"/>
          <w:sz w:val="24"/>
          <w:szCs w:val="24"/>
          <w:rtl w:val="off"/>
        </w:rPr>
        <w:t xml:space="preserve">Спектры кругового дихроизма для трёх образцов (А-синий, Б-серый, В-красный) G4 biG3T </w:t>
      </w:r>
    </w:p>
    <w:p w14:paraId="0000000B">
      <w:p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0" w:line="240" w:lineRule="auto"/>
        <w:ind w:firstLine="39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rtl w:val="off"/>
        </w:rPr>
        <w:drawing xmlns:mc="http://schemas.openxmlformats.org/markup-compatibility/2006">
          <wp:anchor allowOverlap="1" behindDoc="0" distT="0" distB="0" distL="114300" distR="114300" layoutInCell="1" locked="0" relativeHeight="3" simplePos="0">
            <wp:simplePos x="0" y="0"/>
            <wp:positionH relativeFrom="margin">
              <wp:posOffset>4063365</wp:posOffset>
            </wp:positionH>
            <wp:positionV relativeFrom="margin">
              <wp:posOffset>6386195</wp:posOffset>
            </wp:positionV>
            <wp:extent cx="1403350" cy="1085850"/>
            <wp:effectExtent l="0" t="0" r="0" b="0"/>
            <wp:wrapTopAndBottom/>
            <wp:docPr id="58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 preferRelativeResize="0"/>
                  </pic:nvPicPr>
                  <pic:blipFill>
                    <a:blip r:embed="rId31"/>
                    <a:srcRect l="3135" t="9049" r="9927" b="3071"/>
                    <a:stretch/>
                  </pic:blipFill>
                  <pic:spPr>
                    <a:xfrm>
                      <a:off x="0" y="0"/>
                      <a:ext cx="14033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Альтернативным способом детекции сборки G4, использованным в работе, была оценка изменения интенсивности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rtl w:val="off"/>
        </w:rPr>
        <w:t>флуоресценции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при образовании комплексов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rtl w:val="off"/>
        </w:rPr>
        <w:t>G-тетрад с ароматическими соединениями, в частности, производным акридина 9-аминоакридином (9-АА). В результате флуоресцентного титрования 2,5 мкМ раствора 9-АА 10мкМ растворами образцов А, Б и В в диапазоне концентраций biG3T от 2 до 12 мкМ наблюдалось разгорание флуоресценции. На рисунке 2 представлена зависимость интенсивност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и флуоресценции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rtl w:val="off"/>
        </w:rPr>
        <w:t xml:space="preserve"> от концентрации титранта.</w:t>
      </w:r>
    </w:p>
    <w:p w14:paraId="0000000C">
      <w:p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after="0" w:line="240" w:lineRule="auto"/>
        <w:ind w:firstLine="397"/>
        <w:jc w:val="center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i w:val="off"/>
          <w:iCs w:val="off"/>
          <w:color w:val="000000"/>
          <w:sz w:val="24"/>
          <w:szCs w:val="24"/>
          <w:rtl w:val="off"/>
        </w:rPr>
        <w:drawing xmlns:mc="http://schemas.openxmlformats.org/markup-compatibility/2006">
          <wp:anchor allowOverlap="1" behindDoc="0" distT="0" distB="0" distL="114300" distR="114300" layoutInCell="1" locked="0" relativeHeight="1" simplePos="0">
            <wp:simplePos x="0" y="0"/>
            <wp:positionH relativeFrom="margin">
              <wp:posOffset>2219325</wp:posOffset>
            </wp:positionH>
            <wp:positionV relativeFrom="margin">
              <wp:posOffset>6379210</wp:posOffset>
            </wp:positionV>
            <wp:extent cx="1417320" cy="1095375"/>
            <wp:effectExtent l="0" t="0" r="0" b="0"/>
            <wp:wrapTopAndBottom/>
            <wp:docPr id="59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 preferRelativeResize="0"/>
                  </pic:nvPicPr>
                  <pic:blipFill>
                    <a:blip r:embed="rId32"/>
                    <a:srcRect l="3134" t="8878" r="9797" b="3244"/>
                    <a:stretch/>
                  </pic:blipFill>
                  <pic:spPr>
                    <a:xfrm>
                      <a:off x="0" y="0"/>
                      <a:ext cx="14173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i w:val="off"/>
          <w:iCs w:val="off"/>
          <w:color w:val="000000"/>
          <w:sz w:val="24"/>
          <w:szCs w:val="24"/>
          <w:rtl w:val="off"/>
        </w:rPr>
        <w:drawing xmlns:mc="http://schemas.openxmlformats.org/markup-compatibility/2006">
          <wp:anchor allowOverlap="1" behindDoc="0" distT="0" distB="0" distL="114300" distR="114300" layoutInCell="1" locked="0" relativeHeight="2" simplePos="0">
            <wp:simplePos x="0" y="0"/>
            <wp:positionH relativeFrom="margin">
              <wp:posOffset>297815</wp:posOffset>
            </wp:positionH>
            <wp:positionV relativeFrom="margin">
              <wp:posOffset>6394450</wp:posOffset>
            </wp:positionV>
            <wp:extent cx="1472565" cy="1132205"/>
            <wp:effectExtent l="0" t="0" r="0" b="0"/>
            <wp:wrapTopAndBottom/>
            <wp:docPr id="60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.png"/>
                    <pic:cNvPicPr preferRelativeResize="0"/>
                  </pic:nvPicPr>
                  <pic:blipFill>
                    <a:blip r:embed="rId33"/>
                    <a:srcRect l="3658" t="9561" r="10058" b="3754"/>
                    <a:stretch/>
                  </pic:blipFill>
                  <pic:spPr>
                    <a:xfrm>
                      <a:off x="0" y="0"/>
                      <a:ext cx="147256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i w:val="off"/>
          <w:iCs w:val="off"/>
          <w:color w:val="000000"/>
          <w:sz w:val="24"/>
          <w:szCs w:val="24"/>
          <w:rtl w:val="off"/>
        </w:rPr>
        <w:t>Рис. 2.</w:t>
      </w:r>
      <w:r>
        <w:rPr>
          <w:rFonts w:ascii="Times New Roman" w:cs="Times New Roman" w:eastAsia="Times New Roman" w:hAnsi="Times New Roman"/>
          <w:i w:val="off"/>
          <w:iCs w:val="off"/>
          <w:sz w:val="24"/>
          <w:szCs w:val="24"/>
          <w:rtl w:val="off"/>
        </w:rPr>
        <w:t xml:space="preserve"> Изменение интенсивности флуоресценции при добавлении растворов А, Б и В biG3T к раствору 9-АА</w:t>
      </w:r>
    </w:p>
    <w:p w14:paraId="0000000D"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</w:pBdr>
        <w:spacing w:after="0" w:line="240" w:lineRule="auto"/>
        <w:ind w:firstLine="397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Было обнаружено, что тангенс угла наклона линейной апроксимации построенных кривых возможно использовать как </w:t>
      </w:r>
      <w:r>
        <w:rPr>
          <w:rFonts w:ascii="Times New Roman" w:cs="Times New Roman" w:eastAsia="Times New Roman" w:hAnsi="Times New Roman"/>
          <w:sz w:val="24"/>
          <w:szCs w:val="24"/>
          <w:shd w:val="clear" w:fill="auto"/>
          <w:rtl w:val="off"/>
        </w:rPr>
        <w:t>параметр,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 xml:space="preserve"> характеризующий неполноту сборки G4, причём разница этого коэффициента между образцами А и Б (1:3,1) кратно превышает разницу, наблюдаемую для тех же образцов при спектроскопии кругового дихроизма (1,2:1). Таким образом, впервые было показано, что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rtl w:val="off"/>
        </w:rPr>
        <w:t xml:space="preserve">флуоресцентное титрование 9-АА G4 ДНК может применяться для определения эффективности сборки G4 структур и является </w:t>
      </w:r>
      <w:r>
        <w:rPr>
          <w:rFonts w:ascii="Times New Roman" w:cs="Times New Roman" w:eastAsia="Times New Roman" w:hAnsi="Times New Roman"/>
          <w:sz w:val="24"/>
          <w:szCs w:val="24"/>
          <w:rtl w:val="off"/>
        </w:rPr>
        <w:t>более чувствительным к конформационным изменениям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rtl w:val="off"/>
        </w:rPr>
        <w:t>, чем КД.</w:t>
      </w:r>
    </w:p>
    <w:sectPr>
      <w:headerReference w:type="default" r:id="rId34"/>
      <w:footerReference w:type="default" r:id="rId35"/>
      <w:pgSz w:w="11906" w:h="16838" w:orient="portrait"/>
      <w:pgMar w:top="1134" w:right="1361" w:bottom="1134" w:left="1361" w:header="708" w:footer="708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Times New Roman"/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 xmlns:wp14="http://schemas.microsoft.com/office/word/2010/wordprocessingDrawing" xmlns:wpi="http://schemas.microsoft.com/office/word/2010/wordprocessingInk" xmlns:aink="http://schemas.microsoft.com/office/drawing/2016/ink">
  <w:p w14:paraId="0000000F">
    <w:pPr>
      <w:spacing w:after="0" w:line="240" w:lineRule="auto"/>
      <w:rPr/>
    </w:pP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 xmlns:wp14="http://schemas.microsoft.com/office/word/2010/wordprocessingDrawing" xmlns:wpi="http://schemas.microsoft.com/office/word/2010/wordprocessingInk" xmlns:aink="http://schemas.microsoft.com/office/drawing/2016/ink">
  <w:p w14:paraId="0000000E">
    <w:pPr>
      <w:spacing w:after="0" w:line="240" w:lineRule="auto"/>
      <w:rPr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styleId="DefaultParagraphFont">
    <w:name w:val="Default Paragraph Font"/>
    <w:uiPriority w:val="1"/>
    <w:semiHidden w:val="on"/>
    <w:unhideWhenUsed w:val="on"/>
  </w:style>
  <w:style w:type="table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default="1" w:styleId="Normal">
    <w:name w:val="Normal"/>
    <w:uiPriority w:val="99"/>
  </w:style>
  <w:style w:type="table" w:default="1" w:styleId="TableNormal">
    <w:name w:val="Table Normal"/>
    <w:uiPriority w:val="99"/>
  </w:style>
  <w:style w:type="paragraph" w:styleId="Heading1">
    <w:name w:val="Heading 1"/>
    <w:basedOn w:val="Normal"/>
    <w:next w:val="Normal"/>
    <w:uiPriority w:val="99"/>
    <w:pPr>
      <w:keepNext w:val="on"/>
      <w:keepLines w:val="on"/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  <w:spacing w:before="480" w:after="0"/>
    </w:pPr>
    <w:rPr>
      <w:b/>
      <w:color w:val="2f5496"/>
      <w:sz w:val="28"/>
      <w:szCs w:val="28"/>
    </w:rPr>
  </w:style>
  <w:style w:type="paragraph" w:styleId="Heading2">
    <w:name w:val="Heading 2"/>
    <w:basedOn w:val="Normal"/>
    <w:next w:val="Normal"/>
    <w:uiPriority w:val="99"/>
    <w:pPr>
      <w:keepNext w:val="on"/>
      <w:keepLines w:val="on"/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  <w:spacing w:before="200" w:after="0"/>
    </w:pPr>
    <w:rPr>
      <w:b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9"/>
    <w:pPr>
      <w:keepNext w:val="on"/>
      <w:keepLines w:val="on"/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  <w:spacing w:before="200" w:after="0"/>
    </w:pPr>
    <w:rPr>
      <w:b/>
      <w:color w:val="4472c4"/>
    </w:rPr>
  </w:style>
  <w:style w:type="paragraph" w:styleId="Heading4">
    <w:name w:val="Heading 4"/>
    <w:basedOn w:val="Normal"/>
    <w:next w:val="Normal"/>
    <w:uiPriority w:val="99"/>
    <w:pPr>
      <w:keepNext w:val="on"/>
      <w:keepLines w:val="on"/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  <w:spacing w:before="200" w:after="0"/>
    </w:pPr>
    <w:rPr>
      <w:b/>
      <w:i/>
      <w:color w:val="4472c4"/>
    </w:rPr>
  </w:style>
  <w:style w:type="paragraph" w:styleId="Heading5">
    <w:name w:val="Heading 5"/>
    <w:basedOn w:val="Normal"/>
    <w:next w:val="Normal"/>
    <w:uiPriority w:val="99"/>
    <w:pPr>
      <w:keepNext w:val="on"/>
      <w:keepLines w:val="on"/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  <w:spacing w:before="200" w:after="0"/>
    </w:pPr>
    <w:rPr>
      <w:color w:val="1f3863"/>
    </w:rPr>
  </w:style>
  <w:style w:type="paragraph" w:styleId="Heading6">
    <w:name w:val="Heading 6"/>
    <w:basedOn w:val="Normal"/>
    <w:next w:val="Normal"/>
    <w:uiPriority w:val="99"/>
    <w:pPr>
      <w:keepNext w:val="on"/>
      <w:keepLines w:val="on"/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  <w:spacing w:before="200" w:after="0"/>
    </w:pPr>
    <w:rPr>
      <w:i/>
      <w:color w:val="1f3863"/>
    </w:rPr>
  </w:style>
  <w:style w:type="paragraph" w:styleId="Title">
    <w:name w:val="Title"/>
    <w:basedOn w:val="Normal"/>
    <w:next w:val="Normal"/>
    <w:uiPriority w:val="99"/>
    <w:pPr>
      <w:pBdr>
        <w:top w:val="nil" w:sz="4" w:space="0"/>
        <w:left w:val="nil" w:sz="4" w:space="0"/>
        <w:bottom w:val="single" w:color="4472c4" w:sz="8" w:space="4"/>
        <w:right w:val="nil" w:sz="4" w:space="0"/>
        <w:between w:val="nil" w:sz="4" w:space="0"/>
      </w:pBdr>
      <w:spacing w:after="300" w:line="240" w:lineRule="auto"/>
    </w:pPr>
    <w:rPr>
      <w:color w:val="333f4f"/>
      <w:sz w:val="52"/>
      <w:szCs w:val="52"/>
    </w:rPr>
  </w:style>
  <w:style w:type="paragraph" w:styleId="Subtitle">
    <w:name w:val="Subtitle"/>
    <w:basedOn w:val="Normal"/>
    <w:next w:val="Normal"/>
    <w:uiPriority w:val="99"/>
    <w:pPr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</w:pPr>
    <w:rPr>
      <w:i/>
      <w:color w:val="4472c4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30" Type="http://schemas.openxmlformats.org/officeDocument/2006/relationships/image" Target="media/image1.png"/><Relationship Id="rId31" Type="http://schemas.openxmlformats.org/officeDocument/2006/relationships/image" Target="media/image2.png"/><Relationship Id="rId32" Type="http://schemas.openxmlformats.org/officeDocument/2006/relationships/image" Target="media/image3.png"/><Relationship Id="rId33" Type="http://schemas.openxmlformats.org/officeDocument/2006/relationships/image" Target="media/image4.pn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mbria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