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181" w:rsidRPr="00402FD3" w:rsidRDefault="00000000" w:rsidP="00402FD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FD3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функционирования местоимений </w:t>
      </w:r>
      <w:proofErr w:type="spellStart"/>
      <w:r w:rsidRPr="00402F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-того</w:t>
      </w:r>
      <w:r w:rsidRPr="00402FD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402F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и-его</w:t>
      </w:r>
      <w:r w:rsidRPr="00402FD3">
        <w:rPr>
          <w:rFonts w:ascii="Times New Roman" w:hAnsi="Times New Roman" w:cs="Times New Roman"/>
          <w:b/>
          <w:bCs/>
          <w:sz w:val="24"/>
          <w:szCs w:val="24"/>
        </w:rPr>
        <w:t xml:space="preserve"> в Житии Феодосия Печерского</w:t>
      </w:r>
    </w:p>
    <w:p w:rsidR="00487181" w:rsidRPr="00402FD3" w:rsidRDefault="00000000" w:rsidP="00402FD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</w:rPr>
        <w:t>Моисеева Олеся Алексеевна</w:t>
      </w:r>
    </w:p>
    <w:p w:rsidR="00487181" w:rsidRPr="00402FD3" w:rsidRDefault="00000000" w:rsidP="00402FD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</w:rPr>
        <w:t>Студентка Санкт-Петербургского государственного университета, Санкт-Петербург, Россия</w:t>
      </w:r>
    </w:p>
    <w:p w:rsidR="00487181" w:rsidRPr="00402FD3" w:rsidRDefault="00000000" w:rsidP="00402FD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02FD3">
          <w:rPr>
            <w:rStyle w:val="Hyperlink0"/>
            <w:rFonts w:ascii="Times New Roman" w:hAnsi="Times New Roman" w:cs="Times New Roman"/>
            <w:sz w:val="24"/>
            <w:szCs w:val="24"/>
          </w:rPr>
          <w:t>alevtina.2004m@gmail.com</w:t>
        </w:r>
      </w:hyperlink>
    </w:p>
    <w:p w:rsidR="00487181" w:rsidRPr="00402FD3" w:rsidRDefault="00000000" w:rsidP="00402FD3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</w:rPr>
        <w:t xml:space="preserve">В древнерусских текстах для замещения одушевленного антецедента могло использоваться не только более привычное для нас местоимение </w:t>
      </w:r>
      <w:r w:rsidRPr="00402FD3">
        <w:rPr>
          <w:rFonts w:ascii="Times New Roman" w:hAnsi="Times New Roman" w:cs="Times New Roman"/>
          <w:i/>
          <w:iCs/>
          <w:sz w:val="24"/>
          <w:szCs w:val="24"/>
        </w:rPr>
        <w:t>и, я, е</w:t>
      </w:r>
      <w:r w:rsidRPr="00402FD3">
        <w:rPr>
          <w:rFonts w:ascii="Times New Roman" w:hAnsi="Times New Roman" w:cs="Times New Roman"/>
          <w:sz w:val="24"/>
          <w:szCs w:val="24"/>
        </w:rPr>
        <w:t xml:space="preserve">, но и указательное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. Субстантивное употребление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часто служило для анафоры целых предложений или их частей [Федорова:</w:t>
      </w:r>
      <w:r w:rsidR="0015667D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 xml:space="preserve">99], случаи же использования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в функции местоимения 3-го лица оказываются не столь распространенными. Лишь в некоторых памятниках, скорее всего, определенного жанра и региона написания, заметно частотное использование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в таком значении, среди них — Житие Феодосия Печерского (далее — ЖФП). Источником исследования послужил текст Жития, опубликованный О. В. Твороговым в 1-м томе «Библиотеки литературы Древней Руси» по списку в составе Успенского сборника </w:t>
      </w:r>
      <w:r w:rsidRPr="00402FD3">
        <w:rPr>
          <w:rFonts w:ascii="Times New Roman" w:hAnsi="Times New Roman" w:cs="Times New Roman"/>
          <w:sz w:val="24"/>
          <w:szCs w:val="24"/>
          <w:lang w:val="it-IT"/>
        </w:rPr>
        <w:t>XII</w:t>
      </w:r>
      <w:r w:rsidRPr="00402FD3">
        <w:rPr>
          <w:rFonts w:ascii="Times New Roman" w:hAnsi="Times New Roman" w:cs="Times New Roman"/>
          <w:sz w:val="24"/>
          <w:szCs w:val="24"/>
        </w:rPr>
        <w:t>—</w:t>
      </w:r>
      <w:r w:rsidRPr="00402FD3">
        <w:rPr>
          <w:rFonts w:ascii="Times New Roman" w:hAnsi="Times New Roman" w:cs="Times New Roman"/>
          <w:sz w:val="24"/>
          <w:szCs w:val="24"/>
          <w:lang w:val="it-IT"/>
        </w:rPr>
        <w:t xml:space="preserve">XIII </w:t>
      </w:r>
      <w:r w:rsidRPr="00402FD3">
        <w:rPr>
          <w:rFonts w:ascii="Times New Roman" w:hAnsi="Times New Roman" w:cs="Times New Roman"/>
          <w:sz w:val="24"/>
          <w:szCs w:val="24"/>
        </w:rPr>
        <w:t xml:space="preserve">вв. (далее — УС).  В тексте было обнаружено более 600 случаев употребления </w:t>
      </w:r>
      <w:r w:rsidRPr="00402FD3">
        <w:rPr>
          <w:rFonts w:ascii="Times New Roman" w:hAnsi="Times New Roman" w:cs="Times New Roman"/>
          <w:i/>
          <w:iCs/>
          <w:sz w:val="24"/>
          <w:szCs w:val="24"/>
        </w:rPr>
        <w:t xml:space="preserve">и, я, е </w:t>
      </w:r>
      <w:r w:rsidRPr="00402FD3">
        <w:rPr>
          <w:rFonts w:ascii="Times New Roman" w:hAnsi="Times New Roman" w:cs="Times New Roman"/>
          <w:sz w:val="24"/>
          <w:szCs w:val="24"/>
        </w:rPr>
        <w:t xml:space="preserve">и около 150 примеров с местоимением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2FD3">
        <w:rPr>
          <w:rFonts w:ascii="Times New Roman" w:hAnsi="Times New Roman" w:cs="Times New Roman"/>
          <w:sz w:val="24"/>
          <w:szCs w:val="24"/>
        </w:rPr>
        <w:t xml:space="preserve">причем наиболее частотной оказывается форма </w:t>
      </w:r>
      <w:proofErr w:type="spellStart"/>
      <w:proofErr w:type="gramStart"/>
      <w:r w:rsidRPr="00402FD3">
        <w:rPr>
          <w:rFonts w:ascii="Times New Roman" w:hAnsi="Times New Roman" w:cs="Times New Roman"/>
          <w:sz w:val="24"/>
          <w:szCs w:val="24"/>
        </w:rPr>
        <w:t>дат.пад</w:t>
      </w:r>
      <w:proofErr w:type="spellEnd"/>
      <w:proofErr w:type="gramEnd"/>
      <w:r w:rsidRPr="00402F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. (140 и 55 соответственно). </w:t>
      </w:r>
    </w:p>
    <w:p w:rsidR="00487181" w:rsidRPr="00402FD3" w:rsidRDefault="00000000" w:rsidP="00402FD3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</w:rPr>
        <w:t xml:space="preserve">Цель работы — попытаться выяснить, почему в каких-то предложениях писцом используется местоимение </w:t>
      </w:r>
      <w:r w:rsidRPr="00402FD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02FD3">
        <w:rPr>
          <w:rFonts w:ascii="Times New Roman" w:hAnsi="Times New Roman" w:cs="Times New Roman"/>
          <w:sz w:val="24"/>
          <w:szCs w:val="24"/>
        </w:rPr>
        <w:t xml:space="preserve">, а в других —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. Т. А. Сумникова отмечала, что эти местоимения «в обычном повествовательном тексте теряли свои семантические различия и выступали как семантически нейтральная анафора» </w:t>
      </w:r>
      <w:r w:rsidRPr="00402FD3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402FD3">
        <w:rPr>
          <w:rFonts w:ascii="Times New Roman" w:hAnsi="Times New Roman" w:cs="Times New Roman"/>
          <w:sz w:val="24"/>
          <w:szCs w:val="24"/>
        </w:rPr>
        <w:t>Сумникова</w:t>
      </w:r>
      <w:r w:rsidRPr="00402FD3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5667D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  <w:lang w:val="pt-PT"/>
        </w:rPr>
        <w:t>372]</w:t>
      </w:r>
      <w:r w:rsidRPr="00402FD3">
        <w:rPr>
          <w:rFonts w:ascii="Times New Roman" w:hAnsi="Times New Roman" w:cs="Times New Roman"/>
          <w:sz w:val="24"/>
          <w:szCs w:val="24"/>
        </w:rPr>
        <w:t xml:space="preserve">. Анализ референтной структуры Жития показывает, что четкой зависимости между антецедентом и используемым местоимением нет: встречаются случаи употребления разных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демонстративов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, отсылающих к одному объекту (напр.,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Блаженый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же,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видѣвъ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я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съвязаны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такой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скърби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суща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съжалиси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зѣло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и,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просльзивъся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повелѣ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раздрѣшити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я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дати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же </w:t>
      </w:r>
      <w:proofErr w:type="spellStart"/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тѣмъ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ѣсти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пити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) и одного местоимения, который заменяет разные лица (напр., 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То же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слышавъши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жена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отъиде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домъ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свой,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блаженый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иде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къ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судии и еже о ней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глаголавъ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тому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, избави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ту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от насилия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, якоже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тому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посълавъшю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възвратити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той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имь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же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бѣ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обидя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ю</w:t>
      </w:r>
      <w:r w:rsidRPr="00402FD3">
        <w:rPr>
          <w:rFonts w:ascii="Times New Roman" w:hAnsi="Times New Roman" w:cs="Times New Roman"/>
          <w:sz w:val="24"/>
          <w:szCs w:val="24"/>
        </w:rPr>
        <w:t xml:space="preserve">). Попытка расширения на весь текст выводов В. М. Живова, который изучал примеры дательного самостоятельного (далее - ДС) с местоимением в качестве субъекта оборота в ЖФП, о соотношении между количеством агентов и их расположением и выбором определенного местоимения не увенчалась успехом. Встречаются случаи, когда ближайший актант заменяется местоимением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>без заметных «нежелательных эффектов» [Живов:</w:t>
      </w:r>
      <w:r w:rsidR="0015667D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 xml:space="preserve">52], которыми могла быть вызвана потребность использования именно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(напр.</w:t>
      </w:r>
      <w:proofErr w:type="gramStart"/>
      <w:r w:rsidRPr="00402FD3">
        <w:rPr>
          <w:rFonts w:ascii="Times New Roman" w:hAnsi="Times New Roman" w:cs="Times New Roman"/>
          <w:sz w:val="24"/>
          <w:szCs w:val="24"/>
        </w:rPr>
        <w:t>,</w:t>
      </w:r>
      <w:r w:rsidR="00402FD3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sz w:val="24"/>
          <w:szCs w:val="24"/>
        </w:rPr>
        <w:t>Тогда</w:t>
      </w:r>
      <w:proofErr w:type="gramEnd"/>
      <w:r w:rsidRPr="00402FD3">
        <w:rPr>
          <w:rFonts w:ascii="Palatino Linotype" w:hAnsi="Palatino Linotype" w:cs="Lucida Sans Unicode"/>
          <w:sz w:val="24"/>
          <w:szCs w:val="24"/>
        </w:rPr>
        <w:t xml:space="preserve"> же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приде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каженикъ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нѣкто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от княжа дому, иже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бѣ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любим князем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предръжа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у него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вся,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моляшеся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старцю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Антонию, и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той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хотя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быти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чръноризець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.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Его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же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поучивъ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старець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еже о спасении души,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предасть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его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Никону, да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острыжеть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. Он же и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остригь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облече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его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въ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мнишескую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одеждю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и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Ефрѣм</w:t>
      </w:r>
      <w:proofErr w:type="spellEnd"/>
      <w:r w:rsidRPr="00402FD3">
        <w:rPr>
          <w:rFonts w:ascii="Palatino Linotype" w:hAnsi="Palatino Linotype" w:cs="Lucida Sans Unicode"/>
          <w:sz w:val="24"/>
          <w:szCs w:val="24"/>
        </w:rPr>
        <w:t xml:space="preserve"> имя </w:t>
      </w:r>
      <w:r w:rsidRPr="00402FD3">
        <w:rPr>
          <w:rFonts w:ascii="Palatino Linotype" w:hAnsi="Palatino Linotype" w:cs="Lucida Sans Unicode"/>
          <w:i/>
          <w:iCs/>
          <w:sz w:val="24"/>
          <w:szCs w:val="24"/>
        </w:rPr>
        <w:t>тому</w:t>
      </w:r>
      <w:r w:rsidRPr="00402FD3">
        <w:rPr>
          <w:rFonts w:ascii="Palatino Linotype" w:hAnsi="Palatino Linotype" w:cs="Lucida Sans Unicode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Lucida Sans Unicode"/>
          <w:sz w:val="24"/>
          <w:szCs w:val="24"/>
        </w:rPr>
        <w:t>нарекъ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). Так, однозначной зависимости между местоимением и особенностями референтной структуры не обнаруживается. </w:t>
      </w:r>
    </w:p>
    <w:p w:rsidR="00487181" w:rsidRPr="00402FD3" w:rsidRDefault="00000000" w:rsidP="00402FD3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66CA6"/>
        </w:rPr>
      </w:pPr>
      <w:r w:rsidRPr="00402FD3">
        <w:rPr>
          <w:rFonts w:ascii="Times New Roman" w:hAnsi="Times New Roman" w:cs="Times New Roman"/>
          <w:sz w:val="24"/>
          <w:szCs w:val="24"/>
        </w:rPr>
        <w:t xml:space="preserve">Исследование морфолого-синтаксических характеристик представляется не менее важным, чем обращение к соотносительным связям местоимения и замещаемого объекта. Рассматривались следующие критерии: семантика глагола, которое управляет местоимением, и </w:t>
      </w:r>
      <w:proofErr w:type="gramStart"/>
      <w:r w:rsidRPr="00402FD3">
        <w:rPr>
          <w:rFonts w:ascii="Times New Roman" w:hAnsi="Times New Roman" w:cs="Times New Roman"/>
          <w:sz w:val="24"/>
          <w:szCs w:val="24"/>
        </w:rPr>
        <w:t>пост-</w:t>
      </w:r>
      <w:r w:rsidR="00402FD3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402FD3">
        <w:rPr>
          <w:rFonts w:ascii="Times New Roman" w:hAnsi="Times New Roman" w:cs="Times New Roman"/>
          <w:sz w:val="24"/>
          <w:szCs w:val="24"/>
        </w:rPr>
        <w:t xml:space="preserve"> препозитивная позиция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демонстратива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по отношению к этому глаголу, причастная/глагольная форма,</w:t>
      </w:r>
      <w:r w:rsidR="00EA2029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 xml:space="preserve">нахождение местоимения в основной/придаточной части или в составе особой синтаксической конструкции (ДС, дательный с инфинитивом). Оба местоимения, в основном, используются с одинаковым набором глаголов (напр.,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призъвавъ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я,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нъ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не ту абие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обличааше</w:t>
      </w:r>
      <w:proofErr w:type="spellEnd"/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ихъ</w:t>
      </w:r>
      <w:proofErr w:type="spellEnd"/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 —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обличааше</w:t>
      </w:r>
      <w:proofErr w:type="spellEnd"/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 того </w:t>
      </w:r>
      <w:r w:rsidRPr="00402FD3">
        <w:rPr>
          <w:rFonts w:ascii="Palatino Linotype" w:hAnsi="Palatino Linotype" w:cs="Times New Roman"/>
          <w:sz w:val="24"/>
          <w:szCs w:val="24"/>
        </w:rPr>
        <w:lastRenderedPageBreak/>
        <w:t xml:space="preserve">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неправьдьнѣмь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прогънании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брата</w:t>
      </w:r>
      <w:r w:rsidRPr="00402FD3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402FD3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съретати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поминати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употребляются в тексте лишь с местоимением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, причем со вторым — лишь в составном именном сказуемом с модальным элементом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</w:rPr>
        <w:t>велети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(напр., 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…то же, тако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ишьдъ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того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сърѣташе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радуяся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; …моля Бога 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христолюбьци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Изиславѣ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и еще же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въ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ектении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веля того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поминати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). С местоимением </w:t>
      </w:r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и</w:t>
      </w: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 таких примеров больше, что может объясняться, в частности, количественным преобладанием местоимения. Говоря о положении по отношению к глаголу, отметим, что предложно-падежные конструкции (далее — ППК) с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 чаще находятся в препозиции (11 из 18 случаев) в отличи</w:t>
      </w:r>
      <w:r w:rsidR="0015667D">
        <w:rPr>
          <w:rFonts w:ascii="Times New Roman" w:hAnsi="Times New Roman" w:cs="Times New Roman"/>
          <w:sz w:val="24"/>
          <w:szCs w:val="24"/>
          <w:u w:color="066CA6"/>
        </w:rPr>
        <w:t>е</w:t>
      </w: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 от ППК с </w:t>
      </w:r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и</w:t>
      </w: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, где явно доминирует постпозитивное употребление (100 из 112 примеров). Приведение количественных данных по остальным критериям представляется излишним, т.к. никаких предпочтений к определенному окружению местоимения не показывают, что демонстрирует их синтаксическую нейтральность. </w:t>
      </w:r>
    </w:p>
    <w:p w:rsidR="00487181" w:rsidRPr="00402FD3" w:rsidRDefault="00000000" w:rsidP="00402FD3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Интересным оказывается заметное увеличение количества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66CA6"/>
        </w:rPr>
        <w:t>, наблюдаемое при смене почерков в УС на 46 л. рукописи [УС:</w:t>
      </w:r>
      <w:r w:rsidR="0015667D">
        <w:rPr>
          <w:rFonts w:ascii="Times New Roman" w:hAnsi="Times New Roman" w:cs="Times New Roman"/>
          <w:sz w:val="24"/>
          <w:szCs w:val="24"/>
          <w:u w:color="066CA6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21]. Если в первой половине текста не так часто встречается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, то во второй половине употребление форм </w:t>
      </w:r>
      <w:proofErr w:type="spellStart"/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тъ</w:t>
      </w:r>
      <w:proofErr w:type="spellEnd"/>
      <w:r w:rsidRPr="00402FD3">
        <w:rPr>
          <w:rFonts w:ascii="Times New Roman" w:hAnsi="Times New Roman" w:cs="Times New Roman"/>
          <w:i/>
          <w:iCs/>
          <w:sz w:val="24"/>
          <w:szCs w:val="24"/>
          <w:u w:color="066CA6"/>
        </w:rPr>
        <w:t>-того</w:t>
      </w:r>
      <w:r w:rsidRPr="00402FD3">
        <w:rPr>
          <w:rFonts w:ascii="Times New Roman" w:hAnsi="Times New Roman" w:cs="Times New Roman"/>
          <w:sz w:val="24"/>
          <w:szCs w:val="24"/>
          <w:u w:color="066CA6"/>
        </w:rPr>
        <w:t xml:space="preserve">, кажется, действительно преобладает (ср. 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Мати же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его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оставляше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и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, не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велящи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ему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 тако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творити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моляше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и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пакы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облачитися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въ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одежю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свѣтьлу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и тако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исходити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ему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съ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съвьрьстьникы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своими на игры — То же тако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обличаше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того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овъгда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епистолия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пиша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посылааше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тому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овъгда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же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вельможамъ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его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приходящемъ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къ</w:t>
      </w:r>
      <w:proofErr w:type="spellEnd"/>
      <w:r w:rsidRPr="00402FD3">
        <w:rPr>
          <w:rFonts w:ascii="Palatino Linotype" w:hAnsi="Palatino Linotype" w:cs="Times New Roman"/>
          <w:i/>
          <w:iCs/>
          <w:sz w:val="24"/>
          <w:szCs w:val="24"/>
        </w:rPr>
        <w:t xml:space="preserve"> нему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обличааше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того</w:t>
      </w:r>
      <w:r w:rsidRPr="00402FD3">
        <w:rPr>
          <w:rFonts w:ascii="Palatino Linotype" w:hAnsi="Palatino Linotype" w:cs="Times New Roman"/>
          <w:sz w:val="24"/>
          <w:szCs w:val="24"/>
        </w:rPr>
        <w:t xml:space="preserve"> о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неправьдьнѣмь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прогънании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брата, веля </w:t>
      </w:r>
      <w:proofErr w:type="spellStart"/>
      <w:r w:rsidRPr="00402FD3">
        <w:rPr>
          <w:rFonts w:ascii="Palatino Linotype" w:hAnsi="Palatino Linotype" w:cs="Times New Roman"/>
          <w:i/>
          <w:iCs/>
          <w:sz w:val="24"/>
          <w:szCs w:val="24"/>
        </w:rPr>
        <w:t>тѣмъ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02FD3">
        <w:rPr>
          <w:rFonts w:ascii="Palatino Linotype" w:hAnsi="Palatino Linotype" w:cs="Times New Roman"/>
          <w:sz w:val="24"/>
          <w:szCs w:val="24"/>
        </w:rPr>
        <w:t>повѣдати</w:t>
      </w:r>
      <w:proofErr w:type="spellEnd"/>
      <w:r w:rsidRPr="00402FD3">
        <w:rPr>
          <w:rFonts w:ascii="Palatino Linotype" w:hAnsi="Palatino Linotype" w:cs="Times New Roman"/>
          <w:sz w:val="24"/>
          <w:szCs w:val="24"/>
        </w:rPr>
        <w:t xml:space="preserve"> </w:t>
      </w:r>
      <w:r w:rsidRPr="00402FD3">
        <w:rPr>
          <w:rFonts w:ascii="Palatino Linotype" w:hAnsi="Palatino Linotype" w:cs="Times New Roman"/>
          <w:i/>
          <w:iCs/>
          <w:sz w:val="24"/>
          <w:szCs w:val="24"/>
        </w:rPr>
        <w:t>тому</w:t>
      </w:r>
      <w:r w:rsidRPr="00402FD3">
        <w:rPr>
          <w:rFonts w:ascii="Times New Roman" w:hAnsi="Times New Roman" w:cs="Times New Roman"/>
          <w:sz w:val="24"/>
          <w:szCs w:val="24"/>
        </w:rPr>
        <w:t>). Можно предположить, что такое частотное словоупотребление является особенностью второго писца, письмо которого «характеризуется ярко выраженным стремлен</w:t>
      </w:r>
      <w:r w:rsidR="0015667D">
        <w:rPr>
          <w:rFonts w:ascii="Times New Roman" w:hAnsi="Times New Roman" w:cs="Times New Roman"/>
          <w:sz w:val="24"/>
          <w:szCs w:val="24"/>
        </w:rPr>
        <w:t>и</w:t>
      </w:r>
      <w:r w:rsidRPr="00402FD3">
        <w:rPr>
          <w:rFonts w:ascii="Times New Roman" w:hAnsi="Times New Roman" w:cs="Times New Roman"/>
          <w:sz w:val="24"/>
          <w:szCs w:val="24"/>
        </w:rPr>
        <w:t>ем следовать определенным графико-орфографическим нормам» [УС:</w:t>
      </w:r>
      <w:r w:rsidR="0015667D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 xml:space="preserve">24]; при этом территориальную принадлежность памятника определяют скорее как южнорусскую </w:t>
      </w:r>
      <w:r w:rsidRPr="00402FD3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402FD3">
        <w:rPr>
          <w:rFonts w:ascii="Times New Roman" w:hAnsi="Times New Roman" w:cs="Times New Roman"/>
          <w:sz w:val="24"/>
          <w:szCs w:val="24"/>
        </w:rPr>
        <w:t>УС:</w:t>
      </w:r>
      <w:r w:rsidR="0015667D">
        <w:rPr>
          <w:rFonts w:ascii="Times New Roman" w:hAnsi="Times New Roman" w:cs="Times New Roman"/>
          <w:sz w:val="24"/>
          <w:szCs w:val="24"/>
        </w:rPr>
        <w:t xml:space="preserve"> </w:t>
      </w:r>
      <w:r w:rsidRPr="00402FD3">
        <w:rPr>
          <w:rFonts w:ascii="Times New Roman" w:hAnsi="Times New Roman" w:cs="Times New Roman"/>
          <w:sz w:val="24"/>
          <w:szCs w:val="24"/>
        </w:rPr>
        <w:t>25</w:t>
      </w:r>
      <w:r w:rsidR="0015667D" w:rsidRPr="0015667D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—</w:t>
      </w:r>
      <w:r w:rsidRPr="00402FD3">
        <w:rPr>
          <w:rFonts w:ascii="Times New Roman" w:hAnsi="Times New Roman" w:cs="Times New Roman"/>
          <w:sz w:val="24"/>
          <w:szCs w:val="24"/>
        </w:rPr>
        <w:t>26</w:t>
      </w:r>
      <w:r w:rsidRPr="00402FD3">
        <w:rPr>
          <w:rFonts w:ascii="Times New Roman" w:hAnsi="Times New Roman" w:cs="Times New Roman"/>
          <w:sz w:val="24"/>
          <w:szCs w:val="24"/>
          <w:lang w:val="pt-PT"/>
        </w:rPr>
        <w:t>]</w:t>
      </w:r>
      <w:r w:rsidRPr="00402FD3">
        <w:rPr>
          <w:rFonts w:ascii="Times New Roman" w:hAnsi="Times New Roman" w:cs="Times New Roman"/>
          <w:sz w:val="24"/>
          <w:szCs w:val="24"/>
        </w:rPr>
        <w:t xml:space="preserve">. Возможно, что использование </w:t>
      </w:r>
      <w:proofErr w:type="spellStart"/>
      <w:r w:rsidRPr="00402FD3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402FD3">
        <w:rPr>
          <w:rFonts w:ascii="Times New Roman" w:hAnsi="Times New Roman" w:cs="Times New Roman"/>
          <w:sz w:val="24"/>
          <w:szCs w:val="24"/>
        </w:rPr>
        <w:t xml:space="preserve"> в качестве личного местоимения 3-го лица характеризует памятники церковного жанра и южнославянской норм</w:t>
      </w:r>
      <w:r w:rsidR="00EA2029">
        <w:rPr>
          <w:rFonts w:ascii="Times New Roman" w:hAnsi="Times New Roman" w:cs="Times New Roman"/>
          <w:sz w:val="24"/>
          <w:szCs w:val="24"/>
        </w:rPr>
        <w:t>ы</w:t>
      </w:r>
      <w:r w:rsidRPr="00402FD3">
        <w:rPr>
          <w:rFonts w:ascii="Times New Roman" w:hAnsi="Times New Roman" w:cs="Times New Roman"/>
          <w:sz w:val="24"/>
          <w:szCs w:val="24"/>
        </w:rPr>
        <w:t xml:space="preserve"> написания. </w:t>
      </w:r>
    </w:p>
    <w:p w:rsidR="00487181" w:rsidRPr="00402FD3" w:rsidRDefault="00EA2029" w:rsidP="00402FD3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000000" w:rsidRPr="00402F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7181" w:rsidRPr="00402FD3" w:rsidRDefault="00000000" w:rsidP="0040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Живов В. М. Референтная структура и порядок слов: </w:t>
      </w:r>
      <w:r w:rsidR="00EA2029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Д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ательный самостоятельный в двух древних церковнославянских текстах // Русский язык в научном освещении. М., 2008. № 1. С. 5</w:t>
      </w:r>
      <w:r w:rsidRPr="00EA2029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—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56.</w:t>
      </w:r>
    </w:p>
    <w:p w:rsidR="00487181" w:rsidRPr="00402FD3" w:rsidRDefault="00000000" w:rsidP="0040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Сумникова Т. А. Местоимение / Древнерусская грамматика 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it-IT"/>
        </w:rPr>
        <w:t>XII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—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it-IT"/>
        </w:rPr>
        <w:t xml:space="preserve">XIII 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вв. М., 1995. С. 326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en-US"/>
        </w:rPr>
        <w:t>—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374. </w:t>
      </w:r>
    </w:p>
    <w:p w:rsidR="00487181" w:rsidRPr="00402FD3" w:rsidRDefault="00000000" w:rsidP="0040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Успенскии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̆ сборник 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it-IT"/>
        </w:rPr>
        <w:t>XII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—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it-IT"/>
        </w:rPr>
        <w:t xml:space="preserve">XIII 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вв. / Под ред. С. И. </w:t>
      </w:r>
      <w:proofErr w:type="spellStart"/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Коткова</w:t>
      </w:r>
      <w:proofErr w:type="spellEnd"/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 М., 1971.</w:t>
      </w:r>
    </w:p>
    <w:p w:rsidR="00487181" w:rsidRPr="00402FD3" w:rsidRDefault="00000000" w:rsidP="00402F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Федорова М. В. Лексико</w:t>
      </w:r>
      <w:r w:rsidR="00EA2029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-</w:t>
      </w:r>
      <w:r w:rsidRPr="00402FD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грамматические очерки по истории русских местоимений. Воронеж, 1965.</w:t>
      </w:r>
    </w:p>
    <w:sectPr w:rsidR="00487181" w:rsidRPr="00402FD3" w:rsidSect="00402FD3">
      <w:headerReference w:type="default" r:id="rId8"/>
      <w:footerReference w:type="default" r:id="rId9"/>
      <w:pgSz w:w="11906" w:h="16838"/>
      <w:pgMar w:top="1134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78E" w:rsidRDefault="00FC078E">
      <w:r>
        <w:separator/>
      </w:r>
    </w:p>
  </w:endnote>
  <w:endnote w:type="continuationSeparator" w:id="0">
    <w:p w:rsidR="00FC078E" w:rsidRDefault="00F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181" w:rsidRDefault="004871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78E" w:rsidRDefault="00FC078E">
      <w:r>
        <w:separator/>
      </w:r>
    </w:p>
  </w:footnote>
  <w:footnote w:type="continuationSeparator" w:id="0">
    <w:p w:rsidR="00FC078E" w:rsidRDefault="00F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181" w:rsidRDefault="004871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584E"/>
    <w:multiLevelType w:val="hybridMultilevel"/>
    <w:tmpl w:val="02FAAC00"/>
    <w:styleLink w:val="a"/>
    <w:lvl w:ilvl="0" w:tplc="F9DAAC76">
      <w:start w:val="1"/>
      <w:numFmt w:val="decimal"/>
      <w:lvlText w:val="%1."/>
      <w:lvlJc w:val="left"/>
      <w:pPr>
        <w:tabs>
          <w:tab w:val="left" w:pos="567"/>
          <w:tab w:val="num" w:pos="110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00C596">
      <w:start w:val="1"/>
      <w:numFmt w:val="decimal"/>
      <w:lvlText w:val="%2."/>
      <w:lvlJc w:val="left"/>
      <w:pPr>
        <w:tabs>
          <w:tab w:val="left" w:pos="567"/>
          <w:tab w:val="left" w:pos="1134"/>
          <w:tab w:val="num" w:pos="146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7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E3810">
      <w:start w:val="1"/>
      <w:numFmt w:val="decimal"/>
      <w:lvlText w:val="%3."/>
      <w:lvlJc w:val="left"/>
      <w:pPr>
        <w:tabs>
          <w:tab w:val="left" w:pos="567"/>
          <w:tab w:val="left" w:pos="1134"/>
          <w:tab w:val="num" w:pos="182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11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C9F8A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num" w:pos="218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14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E249C">
      <w:start w:val="1"/>
      <w:numFmt w:val="decimal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541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183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CF646">
      <w:start w:val="1"/>
      <w:numFmt w:val="decimal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90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21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50F10C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num" w:pos="3261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25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89CD4">
      <w:start w:val="1"/>
      <w:numFmt w:val="decimal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num" w:pos="3621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29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E4DE0">
      <w:start w:val="1"/>
      <w:numFmt w:val="decimal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num" w:pos="3981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2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9F5D10"/>
    <w:multiLevelType w:val="hybridMultilevel"/>
    <w:tmpl w:val="02FAAC00"/>
    <w:numStyleLink w:val="a"/>
  </w:abstractNum>
  <w:num w:numId="1" w16cid:durableId="331686901">
    <w:abstractNumId w:val="0"/>
  </w:num>
  <w:num w:numId="2" w16cid:durableId="210109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81"/>
    <w:rsid w:val="0013281A"/>
    <w:rsid w:val="0015667D"/>
    <w:rsid w:val="00402FD3"/>
    <w:rsid w:val="00487181"/>
    <w:rsid w:val="00EA2029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2EF"/>
  <w15:docId w15:val="{F2D5BCC0-AA14-5444-B922-5110F09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Ссылка"/>
    <w:rPr>
      <w:u w:val="single"/>
    </w:rPr>
  </w:style>
  <w:style w:type="character" w:customStyle="1" w:styleId="Hyperlink0">
    <w:name w:val="Hyperlink.0"/>
    <w:basedOn w:val="a6"/>
    <w:rPr>
      <w:u w:val="none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vtina.2004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829</Words>
  <Characters>5201</Characters>
  <Application>Microsoft Office Word</Application>
  <DocSecurity>0</DocSecurity>
  <Lines>86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Moiseeva</cp:lastModifiedBy>
  <cp:revision>2</cp:revision>
  <dcterms:created xsi:type="dcterms:W3CDTF">2025-03-04T15:35:00Z</dcterms:created>
  <dcterms:modified xsi:type="dcterms:W3CDTF">2025-03-04T16:04:00Z</dcterms:modified>
</cp:coreProperties>
</file>