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0D" w:rsidRPr="00475B0D" w:rsidRDefault="00475B0D" w:rsidP="00475B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0D">
        <w:rPr>
          <w:rFonts w:ascii="Times New Roman" w:hAnsi="Times New Roman" w:cs="Times New Roman"/>
          <w:b/>
          <w:sz w:val="24"/>
          <w:szCs w:val="24"/>
        </w:rPr>
        <w:t xml:space="preserve">Переместительное «быть» в переводах иностранной прессы </w:t>
      </w:r>
      <w:r w:rsidRPr="00475B0D">
        <w:rPr>
          <w:rFonts w:ascii="Times New Roman" w:hAnsi="Times New Roman" w:cs="Times New Roman"/>
          <w:b/>
          <w:sz w:val="24"/>
          <w:szCs w:val="24"/>
          <w:lang w:val="de-DE"/>
        </w:rPr>
        <w:t>XVII</w:t>
      </w:r>
      <w:r w:rsidRPr="00475B0D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475B0D" w:rsidRDefault="00475B0D" w:rsidP="00475B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 Данила Викторович</w:t>
      </w:r>
    </w:p>
    <w:p w:rsidR="00475B0D" w:rsidRPr="00475B0D" w:rsidRDefault="00475B0D" w:rsidP="00475B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2го курса магистратуры Московского Государственного Университета им. М. В. Ломоносова, Москва, Россия</w:t>
      </w:r>
    </w:p>
    <w:p w:rsidR="00515FA2" w:rsidRPr="002D7CD9" w:rsidRDefault="000A4FB3" w:rsidP="002D7C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9">
        <w:rPr>
          <w:rFonts w:ascii="Times New Roman" w:hAnsi="Times New Roman" w:cs="Times New Roman"/>
          <w:sz w:val="24"/>
          <w:szCs w:val="24"/>
        </w:rPr>
        <w:t xml:space="preserve">В </w:t>
      </w:r>
      <w:r w:rsidR="00B464D1" w:rsidRPr="002D7CD9">
        <w:rPr>
          <w:rFonts w:ascii="Times New Roman" w:hAnsi="Times New Roman" w:cs="Times New Roman"/>
          <w:sz w:val="24"/>
          <w:szCs w:val="24"/>
        </w:rPr>
        <w:t xml:space="preserve">курантах – </w:t>
      </w:r>
      <w:r w:rsidRPr="002D7CD9">
        <w:rPr>
          <w:rFonts w:ascii="Times New Roman" w:hAnsi="Times New Roman" w:cs="Times New Roman"/>
          <w:sz w:val="24"/>
          <w:szCs w:val="24"/>
        </w:rPr>
        <w:t xml:space="preserve">переводах </w:t>
      </w:r>
      <w:r w:rsidR="00B464D1" w:rsidRPr="002D7CD9">
        <w:rPr>
          <w:rFonts w:ascii="Times New Roman" w:hAnsi="Times New Roman" w:cs="Times New Roman"/>
          <w:sz w:val="24"/>
          <w:szCs w:val="24"/>
        </w:rPr>
        <w:t xml:space="preserve">немецких и голландских печатных газет, известных благодаря критическому изданию «Вести-Куранты» </w:t>
      </w:r>
      <w:r w:rsidR="00515FA2" w:rsidRPr="002D7CD9">
        <w:rPr>
          <w:rFonts w:ascii="Times New Roman" w:hAnsi="Times New Roman" w:cs="Times New Roman"/>
          <w:sz w:val="24"/>
          <w:szCs w:val="24"/>
        </w:rPr>
        <w:t>– для обозначения автономного перемещения переводчик использует не только парные глаголы перемещения «ехать/ездить, и</w:t>
      </w:r>
      <w:r w:rsidR="00A76106">
        <w:rPr>
          <w:rFonts w:ascii="Times New Roman" w:hAnsi="Times New Roman" w:cs="Times New Roman"/>
          <w:sz w:val="24"/>
          <w:szCs w:val="24"/>
        </w:rPr>
        <w:t>дт</w:t>
      </w:r>
      <w:r w:rsidR="00515FA2" w:rsidRPr="002D7CD9">
        <w:rPr>
          <w:rFonts w:ascii="Times New Roman" w:hAnsi="Times New Roman" w:cs="Times New Roman"/>
          <w:sz w:val="24"/>
          <w:szCs w:val="24"/>
        </w:rPr>
        <w:t>и/ходить, плыть/плавать» и их дериваты, но и одну особенную конструкцию с глаголом «быт</w:t>
      </w:r>
      <w:r w:rsidR="00492745" w:rsidRPr="002D7CD9">
        <w:rPr>
          <w:rFonts w:ascii="Times New Roman" w:hAnsi="Times New Roman" w:cs="Times New Roman"/>
          <w:sz w:val="24"/>
          <w:szCs w:val="24"/>
        </w:rPr>
        <w:t>ь</w:t>
      </w:r>
      <w:r w:rsidR="00515FA2" w:rsidRPr="002D7CD9">
        <w:rPr>
          <w:rFonts w:ascii="Times New Roman" w:hAnsi="Times New Roman" w:cs="Times New Roman"/>
          <w:sz w:val="24"/>
          <w:szCs w:val="24"/>
        </w:rPr>
        <w:t>» в будущем времени, предлогом «в» и существительным в винительном падеже</w:t>
      </w:r>
      <w:r w:rsidR="00492745" w:rsidRPr="002D7CD9">
        <w:rPr>
          <w:rFonts w:ascii="Times New Roman" w:hAnsi="Times New Roman" w:cs="Times New Roman"/>
          <w:sz w:val="24"/>
          <w:szCs w:val="24"/>
        </w:rPr>
        <w:t xml:space="preserve"> или иными словами направительной семантики</w:t>
      </w:r>
      <w:r w:rsidR="00515FA2" w:rsidRPr="002D7CD9">
        <w:rPr>
          <w:rFonts w:ascii="Times New Roman" w:hAnsi="Times New Roman" w:cs="Times New Roman"/>
          <w:sz w:val="24"/>
          <w:szCs w:val="24"/>
        </w:rPr>
        <w:t>. Приведем пример</w:t>
      </w:r>
      <w:r w:rsidR="00492745" w:rsidRPr="002D7CD9">
        <w:rPr>
          <w:rFonts w:ascii="Times New Roman" w:hAnsi="Times New Roman" w:cs="Times New Roman"/>
          <w:sz w:val="24"/>
          <w:szCs w:val="24"/>
        </w:rPr>
        <w:t>ы</w:t>
      </w:r>
      <w:r w:rsidR="00515FA2" w:rsidRPr="002D7C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0"/>
      </w:tblGrid>
      <w:tr w:rsidR="00515FA2" w:rsidRPr="00A76106" w:rsidTr="00492745">
        <w:tc>
          <w:tcPr>
            <w:tcW w:w="4672" w:type="dxa"/>
          </w:tcPr>
          <w:p w:rsidR="00515FA2" w:rsidRPr="002D7CD9" w:rsidRDefault="00515FA2" w:rsidP="002D7CD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auch vermeinet man / daß im Fastnacht die Printzessin aus Toscanien / Seiner Churfürstliche Durchleuchtigkeit zu Pfaltz Braut / auch aus Italien 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anlangen wird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[Rigische Novellen: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14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.]</w:t>
            </w:r>
          </w:p>
        </w:tc>
        <w:tc>
          <w:tcPr>
            <w:tcW w:w="4673" w:type="dxa"/>
          </w:tcPr>
          <w:p w:rsidR="00515FA2" w:rsidRPr="002D7CD9" w:rsidRDefault="00515FA2" w:rsidP="002D7CD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чають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княжна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'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невѣс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'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ɤ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рѳирста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ѳал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'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'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изъ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италиян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'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скои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'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ɤ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</w:rPr>
              <w:t>детъ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[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</w:rPr>
              <w:t>Куранты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1691: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24]</w:t>
            </w:r>
          </w:p>
        </w:tc>
      </w:tr>
      <w:tr w:rsidR="00515FA2" w:rsidRPr="002D7CD9" w:rsidTr="00492745">
        <w:tc>
          <w:tcPr>
            <w:tcW w:w="4672" w:type="dxa"/>
          </w:tcPr>
          <w:p w:rsidR="00515FA2" w:rsidRPr="002D7CD9" w:rsidRDefault="00515FA2" w:rsidP="002D7CD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125. Unangesehen des jetzigen schönen Herbst-Wetter haben Ihr. Käyserl. Majest. resolvirt, am künfftigen Sonna[be]nd mit der gantzen Hoffstatt von Ebersdorff wiederumb herein in die Stadt 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sich zu [ve]rfügen</w:t>
            </w:r>
            <w:r w:rsidR="00492745"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[Rigische Novellen: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68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]</w:t>
            </w:r>
          </w:p>
        </w:tc>
        <w:tc>
          <w:tcPr>
            <w:tcW w:w="4673" w:type="dxa"/>
          </w:tcPr>
          <w:p w:rsidR="00515FA2" w:rsidRPr="002D7CD9" w:rsidRDefault="00515FA2" w:rsidP="002D7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Его Цесар'ское Величество в' бɤдɤщɤю сɤботу и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 xml:space="preserve"> Эбѣр'сто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ѳа, паки сюда в' Вѣну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бɤде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т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</w:rPr>
              <w:t>[Куранты 1691: л. 169]</w:t>
            </w:r>
          </w:p>
        </w:tc>
      </w:tr>
    </w:tbl>
    <w:p w:rsidR="00492745" w:rsidRPr="002D7CD9" w:rsidRDefault="00492745" w:rsidP="002D7C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FA2" w:rsidRPr="002D7CD9" w:rsidRDefault="00515FA2" w:rsidP="002D7C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9">
        <w:rPr>
          <w:rFonts w:ascii="Times New Roman" w:hAnsi="Times New Roman" w:cs="Times New Roman"/>
          <w:sz w:val="24"/>
          <w:szCs w:val="24"/>
        </w:rPr>
        <w:t>Использование глагола «быть» в переместительном значении замечено и в других контекстах, содержащих направительные обстоятельства места: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2"/>
      </w:tblGrid>
      <w:tr w:rsidR="00515FA2" w:rsidRPr="002D7CD9" w:rsidTr="00492745">
        <w:tc>
          <w:tcPr>
            <w:tcW w:w="4672" w:type="dxa"/>
          </w:tcPr>
          <w:p w:rsidR="00515FA2" w:rsidRPr="002D7CD9" w:rsidRDefault="00515FA2" w:rsidP="002D7CD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Ihre Fürstliche Durchleuchtigkeit Printz Lovis von Baaden seind per Posta in Böheimb zu seiner Gemahlin auff eine kurtze Zeit abgereist / und 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wollen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noch vor Ausgang der künfftigen Fasten wiederumb allhier 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sich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einstellen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[Rigische Novellen: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13]</w:t>
            </w:r>
          </w:p>
        </w:tc>
        <w:tc>
          <w:tcPr>
            <w:tcW w:w="4673" w:type="dxa"/>
          </w:tcPr>
          <w:p w:rsidR="00515FA2" w:rsidRPr="002D7CD9" w:rsidRDefault="00515FA2" w:rsidP="002D7C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кн҃зь лю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викъ баденскиi на малое время чре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 xml:space="preserve"> почту в ческую землю к женѣ свое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 xml:space="preserve"> поѣха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, а в постъ сюда наза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</w:rPr>
              <w:t>бɤде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т </w:t>
            </w:r>
            <w:r w:rsidR="00492745" w:rsidRPr="002D7CD9">
              <w:rPr>
                <w:rFonts w:ascii="Times New Roman" w:hAnsi="Times New Roman" w:cs="Times New Roman"/>
                <w:sz w:val="24"/>
                <w:szCs w:val="24"/>
              </w:rPr>
              <w:t>[Куранты 1691: л. 7]</w:t>
            </w:r>
          </w:p>
        </w:tc>
      </w:tr>
    </w:tbl>
    <w:p w:rsidR="00515FA2" w:rsidRPr="002D7CD9" w:rsidRDefault="00515FA2" w:rsidP="002D7C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FA2" w:rsidRPr="002D7CD9" w:rsidRDefault="00515FA2" w:rsidP="002D7C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9">
        <w:rPr>
          <w:rFonts w:ascii="Times New Roman" w:hAnsi="Times New Roman" w:cs="Times New Roman"/>
          <w:sz w:val="24"/>
          <w:szCs w:val="24"/>
        </w:rPr>
        <w:t xml:space="preserve">Если говорить об оригинальных немецких глаголах, послуживших источником для перевода, то это глаголы </w:t>
      </w:r>
      <w:r w:rsidRPr="002D7CD9">
        <w:rPr>
          <w:rFonts w:ascii="Times New Roman" w:hAnsi="Times New Roman" w:cs="Times New Roman"/>
          <w:sz w:val="24"/>
          <w:szCs w:val="24"/>
          <w:lang w:val="de-DE"/>
        </w:rPr>
        <w:t>anlangen</w:t>
      </w:r>
      <w:r w:rsidRPr="002D7CD9">
        <w:rPr>
          <w:rFonts w:ascii="Times New Roman" w:hAnsi="Times New Roman" w:cs="Times New Roman"/>
          <w:sz w:val="24"/>
          <w:szCs w:val="24"/>
        </w:rPr>
        <w:t xml:space="preserve">, </w:t>
      </w:r>
      <w:r w:rsidRPr="002D7CD9">
        <w:rPr>
          <w:rFonts w:ascii="Times New Roman" w:hAnsi="Times New Roman" w:cs="Times New Roman"/>
          <w:sz w:val="24"/>
          <w:szCs w:val="24"/>
          <w:lang w:val="de-DE"/>
        </w:rPr>
        <w:t>sich</w:t>
      </w:r>
      <w:r w:rsidRPr="002D7CD9">
        <w:rPr>
          <w:rFonts w:ascii="Times New Roman" w:hAnsi="Times New Roman" w:cs="Times New Roman"/>
          <w:sz w:val="24"/>
          <w:szCs w:val="24"/>
        </w:rPr>
        <w:t xml:space="preserve"> </w:t>
      </w:r>
      <w:r w:rsidRPr="002D7CD9">
        <w:rPr>
          <w:rFonts w:ascii="Times New Roman" w:hAnsi="Times New Roman" w:cs="Times New Roman"/>
          <w:sz w:val="24"/>
          <w:szCs w:val="24"/>
          <w:lang w:val="de-DE"/>
        </w:rPr>
        <w:t>verf</w:t>
      </w:r>
      <w:r w:rsidRPr="002D7CD9">
        <w:rPr>
          <w:rFonts w:ascii="Times New Roman" w:hAnsi="Times New Roman" w:cs="Times New Roman"/>
          <w:sz w:val="24"/>
          <w:szCs w:val="24"/>
        </w:rPr>
        <w:t>ü</w:t>
      </w:r>
      <w:r w:rsidRPr="002D7CD9">
        <w:rPr>
          <w:rFonts w:ascii="Times New Roman" w:hAnsi="Times New Roman" w:cs="Times New Roman"/>
          <w:sz w:val="24"/>
          <w:szCs w:val="24"/>
          <w:lang w:val="de-DE"/>
        </w:rPr>
        <w:t>gen</w:t>
      </w:r>
      <w:r w:rsidRPr="002D7CD9">
        <w:rPr>
          <w:rFonts w:ascii="Times New Roman" w:hAnsi="Times New Roman" w:cs="Times New Roman"/>
          <w:sz w:val="24"/>
          <w:szCs w:val="24"/>
        </w:rPr>
        <w:t xml:space="preserve">, </w:t>
      </w:r>
      <w:r w:rsidRPr="002D7CD9">
        <w:rPr>
          <w:rFonts w:ascii="Times New Roman" w:hAnsi="Times New Roman" w:cs="Times New Roman"/>
          <w:sz w:val="24"/>
          <w:szCs w:val="24"/>
          <w:lang w:val="de-DE"/>
        </w:rPr>
        <w:t>sich</w:t>
      </w:r>
      <w:r w:rsidRPr="002D7CD9">
        <w:rPr>
          <w:rFonts w:ascii="Times New Roman" w:hAnsi="Times New Roman" w:cs="Times New Roman"/>
          <w:sz w:val="24"/>
          <w:szCs w:val="24"/>
        </w:rPr>
        <w:t xml:space="preserve"> </w:t>
      </w:r>
      <w:r w:rsidRPr="002D7CD9">
        <w:rPr>
          <w:rFonts w:ascii="Times New Roman" w:hAnsi="Times New Roman" w:cs="Times New Roman"/>
          <w:sz w:val="24"/>
          <w:szCs w:val="24"/>
          <w:lang w:val="de-DE"/>
        </w:rPr>
        <w:t>einstellen</w:t>
      </w:r>
      <w:r w:rsidRPr="002D7CD9">
        <w:rPr>
          <w:rFonts w:ascii="Times New Roman" w:hAnsi="Times New Roman" w:cs="Times New Roman"/>
          <w:sz w:val="24"/>
          <w:szCs w:val="24"/>
        </w:rPr>
        <w:t>, которые могли переводиться и «полноценными» глаголами движения. Практически все глаголы, послужившие источником для перевода</w:t>
      </w:r>
      <w:r w:rsidR="00EA3451" w:rsidRPr="002D7CD9">
        <w:rPr>
          <w:rFonts w:ascii="Times New Roman" w:hAnsi="Times New Roman" w:cs="Times New Roman"/>
          <w:sz w:val="24"/>
          <w:szCs w:val="24"/>
        </w:rPr>
        <w:t>, демонстируют префиксы, маркирующие начинательность движения</w:t>
      </w:r>
      <w:r w:rsidR="005C0784" w:rsidRPr="002D7CD9">
        <w:rPr>
          <w:rFonts w:ascii="Times New Roman" w:hAnsi="Times New Roman" w:cs="Times New Roman"/>
          <w:sz w:val="24"/>
          <w:szCs w:val="24"/>
        </w:rPr>
        <w:t>, а также отсутствие характеристики по типу, средству и среде перемещения.</w:t>
      </w:r>
    </w:p>
    <w:p w:rsidR="00EA3451" w:rsidRPr="002D7CD9" w:rsidRDefault="005C0784" w:rsidP="002D7C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9">
        <w:rPr>
          <w:rFonts w:ascii="Times New Roman" w:hAnsi="Times New Roman" w:cs="Times New Roman"/>
          <w:sz w:val="24"/>
          <w:szCs w:val="24"/>
        </w:rPr>
        <w:t>В современном языке у глагола «быть» также имеют</w:t>
      </w:r>
      <w:r w:rsidR="00B27982" w:rsidRPr="002D7CD9">
        <w:rPr>
          <w:rFonts w:ascii="Times New Roman" w:hAnsi="Times New Roman" w:cs="Times New Roman"/>
          <w:sz w:val="24"/>
          <w:szCs w:val="24"/>
        </w:rPr>
        <w:t>ся</w:t>
      </w:r>
      <w:r w:rsidRPr="002D7CD9">
        <w:rPr>
          <w:rFonts w:ascii="Times New Roman" w:hAnsi="Times New Roman" w:cs="Times New Roman"/>
          <w:sz w:val="24"/>
          <w:szCs w:val="24"/>
        </w:rPr>
        <w:t xml:space="preserve"> периферийные локомотивные значения: «прибывать куда-л.». При этом актант конечной точки маршрута заполняется обыкновенно существительным в предложном падеже, чем направительная семантика немного ослабляется. Также в современном языке с пометой устар. возможны заполнения </w:t>
      </w:r>
      <w:r w:rsidR="00A76106">
        <w:rPr>
          <w:rFonts w:ascii="Times New Roman" w:hAnsi="Times New Roman" w:cs="Times New Roman"/>
          <w:sz w:val="24"/>
          <w:szCs w:val="24"/>
        </w:rPr>
        <w:t>этой</w:t>
      </w:r>
      <w:r w:rsidRPr="002D7CD9">
        <w:rPr>
          <w:rFonts w:ascii="Times New Roman" w:hAnsi="Times New Roman" w:cs="Times New Roman"/>
          <w:sz w:val="24"/>
          <w:szCs w:val="24"/>
        </w:rPr>
        <w:t xml:space="preserve"> валентности предложно-именной группой </w:t>
      </w:r>
      <w:r w:rsidR="00A76106">
        <w:rPr>
          <w:rFonts w:ascii="Times New Roman" w:hAnsi="Times New Roman" w:cs="Times New Roman"/>
          <w:sz w:val="24"/>
          <w:szCs w:val="24"/>
        </w:rPr>
        <w:t xml:space="preserve">в дательном падеже </w:t>
      </w:r>
      <w:r w:rsidRPr="002D7CD9">
        <w:rPr>
          <w:rFonts w:ascii="Times New Roman" w:hAnsi="Times New Roman" w:cs="Times New Roman"/>
          <w:sz w:val="24"/>
          <w:szCs w:val="24"/>
        </w:rPr>
        <w:t>с предлогом «к» [АС 201</w:t>
      </w:r>
      <w:r w:rsidR="00B27982" w:rsidRPr="002D7CD9">
        <w:rPr>
          <w:rFonts w:ascii="Times New Roman" w:hAnsi="Times New Roman" w:cs="Times New Roman"/>
          <w:sz w:val="24"/>
          <w:szCs w:val="24"/>
        </w:rPr>
        <w:t>4</w:t>
      </w:r>
      <w:r w:rsidRPr="002D7CD9">
        <w:rPr>
          <w:rFonts w:ascii="Times New Roman" w:hAnsi="Times New Roman" w:cs="Times New Roman"/>
          <w:sz w:val="24"/>
          <w:szCs w:val="24"/>
        </w:rPr>
        <w:t>: 396].</w:t>
      </w:r>
    </w:p>
    <w:p w:rsidR="005C0784" w:rsidRPr="002D7CD9" w:rsidRDefault="005C0784" w:rsidP="002D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9">
        <w:rPr>
          <w:rFonts w:ascii="Times New Roman" w:hAnsi="Times New Roman" w:cs="Times New Roman"/>
          <w:sz w:val="24"/>
          <w:szCs w:val="24"/>
        </w:rPr>
        <w:lastRenderedPageBreak/>
        <w:t>В исследовании [Падучева 2016] возможность выделения два глагола «быть»</w:t>
      </w:r>
      <w:r w:rsidR="00FF245F" w:rsidRPr="002D7CD9">
        <w:rPr>
          <w:rFonts w:ascii="Times New Roman" w:hAnsi="Times New Roman" w:cs="Times New Roman"/>
          <w:sz w:val="24"/>
          <w:szCs w:val="24"/>
        </w:rPr>
        <w:t xml:space="preserve"> –</w:t>
      </w:r>
      <w:r w:rsidRPr="002D7CD9">
        <w:rPr>
          <w:rFonts w:ascii="Times New Roman" w:hAnsi="Times New Roman" w:cs="Times New Roman"/>
          <w:sz w:val="24"/>
          <w:szCs w:val="24"/>
        </w:rPr>
        <w:t xml:space="preserve"> </w:t>
      </w:r>
      <w:r w:rsidR="00FF245F" w:rsidRPr="002D7CD9">
        <w:rPr>
          <w:rFonts w:ascii="Times New Roman" w:hAnsi="Times New Roman" w:cs="Times New Roman"/>
          <w:sz w:val="24"/>
          <w:szCs w:val="24"/>
        </w:rPr>
        <w:t>стативного</w:t>
      </w:r>
      <w:r w:rsidRPr="002D7CD9">
        <w:rPr>
          <w:rFonts w:ascii="Times New Roman" w:hAnsi="Times New Roman" w:cs="Times New Roman"/>
          <w:sz w:val="24"/>
          <w:szCs w:val="24"/>
        </w:rPr>
        <w:t xml:space="preserve"> и динамического</w:t>
      </w:r>
      <w:r w:rsidR="00FF245F" w:rsidRPr="002D7CD9">
        <w:rPr>
          <w:rFonts w:ascii="Times New Roman" w:hAnsi="Times New Roman" w:cs="Times New Roman"/>
          <w:sz w:val="24"/>
          <w:szCs w:val="24"/>
        </w:rPr>
        <w:t xml:space="preserve"> (а для последнего глагола возможность иметь переместительное значение) –</w:t>
      </w:r>
      <w:r w:rsidRPr="002D7CD9">
        <w:rPr>
          <w:rFonts w:ascii="Times New Roman" w:hAnsi="Times New Roman" w:cs="Times New Roman"/>
          <w:sz w:val="24"/>
          <w:szCs w:val="24"/>
        </w:rPr>
        <w:t xml:space="preserve"> обосновывается на основе проверки использования глагола в разных контекстах, типичных для моментальных глаголов совершенного вида. Однако когда речь заходит об «</w:t>
      </w:r>
      <w:r w:rsidR="00A76106">
        <w:rPr>
          <w:rFonts w:ascii="Times New Roman" w:hAnsi="Times New Roman" w:cs="Times New Roman"/>
          <w:sz w:val="24"/>
          <w:szCs w:val="24"/>
        </w:rPr>
        <w:t>и</w:t>
      </w:r>
      <w:r w:rsidRPr="002D7CD9">
        <w:rPr>
          <w:rFonts w:ascii="Times New Roman" w:hAnsi="Times New Roman" w:cs="Times New Roman"/>
          <w:sz w:val="24"/>
          <w:szCs w:val="24"/>
        </w:rPr>
        <w:t>стории вопроса»</w:t>
      </w:r>
      <w:r w:rsidR="00FF245F" w:rsidRPr="002D7CD9">
        <w:rPr>
          <w:rFonts w:ascii="Times New Roman" w:hAnsi="Times New Roman" w:cs="Times New Roman"/>
          <w:sz w:val="24"/>
          <w:szCs w:val="24"/>
        </w:rPr>
        <w:t xml:space="preserve">, то исследовательница приводит контексты с «не переместительным, а атрибутивным быть» в значении «стать» [Падучева 2016: 410]. Примеры из курантов с опорой на текст оригинала, а также с </w:t>
      </w:r>
      <w:r w:rsidR="00A76106">
        <w:rPr>
          <w:rFonts w:ascii="Times New Roman" w:hAnsi="Times New Roman" w:cs="Times New Roman"/>
          <w:sz w:val="24"/>
          <w:szCs w:val="24"/>
        </w:rPr>
        <w:t>примеры из</w:t>
      </w:r>
      <w:r w:rsidR="00FF245F" w:rsidRPr="002D7CD9">
        <w:rPr>
          <w:rFonts w:ascii="Times New Roman" w:hAnsi="Times New Roman" w:cs="Times New Roman"/>
          <w:sz w:val="24"/>
          <w:szCs w:val="24"/>
        </w:rPr>
        <w:t xml:space="preserve"> корпусных данных демонстируют многочисленные примеры явно переместительного «быть», однако только в будущем времени. Найденные примеры оказались сродными приведенной Падучевой </w:t>
      </w:r>
      <w:r w:rsidR="00A76106">
        <w:rPr>
          <w:rFonts w:ascii="Times New Roman" w:hAnsi="Times New Roman" w:cs="Times New Roman"/>
          <w:sz w:val="24"/>
          <w:szCs w:val="24"/>
        </w:rPr>
        <w:t xml:space="preserve">[2016] </w:t>
      </w:r>
      <w:r w:rsidR="00FF245F" w:rsidRPr="002D7CD9">
        <w:rPr>
          <w:rFonts w:ascii="Times New Roman" w:hAnsi="Times New Roman" w:cs="Times New Roman"/>
          <w:sz w:val="24"/>
          <w:szCs w:val="24"/>
        </w:rPr>
        <w:t>цитате с латыни. Ср.: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3"/>
      </w:tblGrid>
      <w:tr w:rsidR="00FF245F" w:rsidRPr="002D7CD9" w:rsidTr="00492745">
        <w:tc>
          <w:tcPr>
            <w:tcW w:w="4672" w:type="dxa"/>
          </w:tcPr>
          <w:p w:rsidR="00FF245F" w:rsidRPr="002D7CD9" w:rsidRDefault="00FF245F" w:rsidP="002D7C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fui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enim hodie 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in funus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2D7C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‘я был сегодня на похороны’: Accusativ превраща-</w:t>
            </w:r>
          </w:p>
          <w:p w:rsidR="00FF245F" w:rsidRPr="002D7CD9" w:rsidRDefault="00FF245F" w:rsidP="002D7C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>ет esse в глагол перемещения.</w:t>
            </w:r>
          </w:p>
        </w:tc>
        <w:tc>
          <w:tcPr>
            <w:tcW w:w="4673" w:type="dxa"/>
          </w:tcPr>
          <w:p w:rsidR="00FF245F" w:rsidRPr="002D7CD9" w:rsidRDefault="00FF245F" w:rsidP="002D7C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 xml:space="preserve">А строитель тебѣ глаголати мнѣ велѣлъ, подвода, де, ли тебѣ, государю, надобе, или самъ </w:t>
            </w:r>
            <w:r w:rsidRPr="002D7CD9">
              <w:rPr>
                <w:rFonts w:ascii="Times New Roman" w:hAnsi="Times New Roman" w:cs="Times New Roman"/>
                <w:b/>
                <w:sz w:val="24"/>
                <w:szCs w:val="24"/>
              </w:rPr>
              <w:t>будешъ въ монастырь</w:t>
            </w:r>
            <w:r w:rsidRPr="002D7CD9">
              <w:rPr>
                <w:rFonts w:ascii="Times New Roman" w:hAnsi="Times New Roman" w:cs="Times New Roman"/>
                <w:sz w:val="24"/>
                <w:szCs w:val="24"/>
              </w:rPr>
              <w:t xml:space="preserve"> (Житие Иринарха Ростовского)</w:t>
            </w:r>
          </w:p>
        </w:tc>
      </w:tr>
    </w:tbl>
    <w:p w:rsidR="00492745" w:rsidRPr="002D7CD9" w:rsidRDefault="00492745" w:rsidP="002D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45" w:rsidRPr="002D7CD9" w:rsidRDefault="00492745" w:rsidP="002D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9">
        <w:rPr>
          <w:rFonts w:ascii="Times New Roman" w:hAnsi="Times New Roman" w:cs="Times New Roman"/>
          <w:sz w:val="24"/>
          <w:szCs w:val="24"/>
        </w:rPr>
        <w:t>При этом глагол «быть» отсутвует в диахронических описаниях глагольной лексики перемещения и ранее не характеризовался исследователями с этой точки зрения.</w:t>
      </w:r>
    </w:p>
    <w:p w:rsidR="00492745" w:rsidRPr="002D7CD9" w:rsidRDefault="00492745" w:rsidP="002D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45" w:rsidRPr="002D7CD9" w:rsidRDefault="00492745" w:rsidP="002D7C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CD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92745" w:rsidRPr="002D7CD9" w:rsidRDefault="00A76106" w:rsidP="002D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Падучева 2016: </w:t>
      </w:r>
      <w:r w:rsidR="00492745" w:rsidRPr="002D7CD9">
        <w:rPr>
          <w:rFonts w:ascii="Times New Roman" w:hAnsi="Times New Roman" w:cs="Times New Roman"/>
          <w:bCs/>
          <w:sz w:val="24"/>
          <w:szCs w:val="24"/>
        </w:rPr>
        <w:t>Падучева Е. В.</w:t>
      </w:r>
      <w:r w:rsidR="00492745" w:rsidRPr="002D7CD9">
        <w:rPr>
          <w:rFonts w:ascii="Times New Roman" w:hAnsi="Times New Roman" w:cs="Times New Roman"/>
          <w:sz w:val="24"/>
          <w:szCs w:val="24"/>
        </w:rPr>
        <w:t xml:space="preserve"> К аспектуальной характеристике глагола быть // </w:t>
      </w:r>
      <w:r w:rsidR="00492745" w:rsidRPr="002D7CD9">
        <w:rPr>
          <w:rFonts w:ascii="Times New Roman" w:hAnsi="Times New Roman" w:cs="Times New Roman"/>
          <w:iCs/>
          <w:sz w:val="24"/>
          <w:szCs w:val="24"/>
        </w:rPr>
        <w:t>Труды Института русского языка им. В.В. Виноградова</w:t>
      </w:r>
      <w:r w:rsidR="00492745" w:rsidRPr="002D7CD9">
        <w:rPr>
          <w:rFonts w:ascii="Times New Roman" w:hAnsi="Times New Roman" w:cs="Times New Roman"/>
          <w:sz w:val="24"/>
          <w:szCs w:val="24"/>
        </w:rPr>
        <w:t>. 2016. № 9. С.398–415.</w:t>
      </w:r>
    </w:p>
    <w:p w:rsidR="00B27982" w:rsidRPr="002D7CD9" w:rsidRDefault="00A76106" w:rsidP="002D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 2014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7982" w:rsidRPr="002D7CD9">
        <w:rPr>
          <w:rFonts w:ascii="Times New Roman" w:hAnsi="Times New Roman" w:cs="Times New Roman"/>
          <w:sz w:val="24"/>
          <w:szCs w:val="24"/>
        </w:rPr>
        <w:t>Активный словарь русского языка. Т. 1. Москва, 2014. — 408 с. — ISBN 978-5-9906039-0-5.</w:t>
      </w:r>
    </w:p>
    <w:p w:rsidR="00B27982" w:rsidRPr="00475B0D" w:rsidRDefault="00B27982" w:rsidP="002D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7CD9">
        <w:rPr>
          <w:rFonts w:ascii="Times New Roman" w:hAnsi="Times New Roman" w:cs="Times New Roman"/>
          <w:sz w:val="24"/>
          <w:szCs w:val="24"/>
        </w:rPr>
        <w:t>Куранты</w:t>
      </w:r>
      <w:r w:rsidRPr="00475B0D">
        <w:rPr>
          <w:rFonts w:ascii="Times New Roman" w:hAnsi="Times New Roman" w:cs="Times New Roman"/>
          <w:sz w:val="24"/>
          <w:szCs w:val="24"/>
          <w:lang w:val="de-DE"/>
        </w:rPr>
        <w:t xml:space="preserve"> 1691: </w:t>
      </w:r>
      <w:r w:rsidRPr="002D7CD9">
        <w:rPr>
          <w:rFonts w:ascii="Times New Roman" w:hAnsi="Times New Roman" w:cs="Times New Roman"/>
          <w:sz w:val="24"/>
          <w:szCs w:val="24"/>
        </w:rPr>
        <w:t>Ф</w:t>
      </w:r>
      <w:r w:rsidRPr="00475B0D">
        <w:rPr>
          <w:rFonts w:ascii="Times New Roman" w:hAnsi="Times New Roman" w:cs="Times New Roman"/>
          <w:sz w:val="24"/>
          <w:szCs w:val="24"/>
          <w:lang w:val="de-DE"/>
        </w:rPr>
        <w:t xml:space="preserve">. 155. </w:t>
      </w:r>
      <w:r w:rsidRPr="002D7CD9">
        <w:rPr>
          <w:rFonts w:ascii="Times New Roman" w:hAnsi="Times New Roman" w:cs="Times New Roman"/>
          <w:sz w:val="24"/>
          <w:szCs w:val="24"/>
        </w:rPr>
        <w:t>Оп</w:t>
      </w:r>
      <w:r w:rsidRPr="00475B0D">
        <w:rPr>
          <w:rFonts w:ascii="Times New Roman" w:hAnsi="Times New Roman" w:cs="Times New Roman"/>
          <w:sz w:val="24"/>
          <w:szCs w:val="24"/>
          <w:lang w:val="de-DE"/>
        </w:rPr>
        <w:t>. 1. 1691. №12.</w:t>
      </w:r>
    </w:p>
    <w:p w:rsidR="00B27982" w:rsidRPr="002D7CD9" w:rsidRDefault="00B27982" w:rsidP="002D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B0D">
        <w:rPr>
          <w:rFonts w:ascii="Times New Roman" w:hAnsi="Times New Roman" w:cs="Times New Roman"/>
          <w:sz w:val="24"/>
          <w:szCs w:val="24"/>
          <w:lang w:val="de-DE"/>
        </w:rPr>
        <w:t xml:space="preserve">Rigische Novellen: </w:t>
      </w:r>
      <w:r w:rsidRPr="002D7CD9">
        <w:rPr>
          <w:rFonts w:ascii="Times New Roman" w:hAnsi="Times New Roman" w:cs="Times New Roman"/>
          <w:sz w:val="24"/>
          <w:szCs w:val="24"/>
        </w:rPr>
        <w:t>Ф</w:t>
      </w:r>
      <w:r w:rsidRPr="00475B0D">
        <w:rPr>
          <w:rFonts w:ascii="Times New Roman" w:hAnsi="Times New Roman" w:cs="Times New Roman"/>
          <w:sz w:val="24"/>
          <w:szCs w:val="24"/>
          <w:lang w:val="de-DE"/>
        </w:rPr>
        <w:t xml:space="preserve">. 155. </w:t>
      </w:r>
      <w:r w:rsidRPr="002D7CD9">
        <w:rPr>
          <w:rFonts w:ascii="Times New Roman" w:hAnsi="Times New Roman" w:cs="Times New Roman"/>
          <w:sz w:val="24"/>
          <w:szCs w:val="24"/>
        </w:rPr>
        <w:t>Оп. 1. 1691. №2.</w:t>
      </w:r>
    </w:p>
    <w:p w:rsidR="00492745" w:rsidRPr="002D7CD9" w:rsidRDefault="00492745" w:rsidP="002D7CD9">
      <w:pPr>
        <w:spacing w:line="240" w:lineRule="auto"/>
        <w:ind w:firstLine="709"/>
        <w:jc w:val="both"/>
        <w:rPr>
          <w:sz w:val="24"/>
          <w:szCs w:val="24"/>
        </w:rPr>
      </w:pPr>
    </w:p>
    <w:sectPr w:rsidR="00492745" w:rsidRPr="002D7CD9" w:rsidSect="002D7C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A03" w:rsidRDefault="003A2A03" w:rsidP="00515FA2">
      <w:pPr>
        <w:spacing w:after="0" w:line="240" w:lineRule="auto"/>
      </w:pPr>
      <w:r>
        <w:separator/>
      </w:r>
    </w:p>
  </w:endnote>
  <w:endnote w:type="continuationSeparator" w:id="0">
    <w:p w:rsidR="003A2A03" w:rsidRDefault="003A2A03" w:rsidP="0051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A03" w:rsidRDefault="003A2A03" w:rsidP="00515FA2">
      <w:pPr>
        <w:spacing w:after="0" w:line="240" w:lineRule="auto"/>
      </w:pPr>
      <w:r>
        <w:separator/>
      </w:r>
    </w:p>
  </w:footnote>
  <w:footnote w:type="continuationSeparator" w:id="0">
    <w:p w:rsidR="003A2A03" w:rsidRDefault="003A2A03" w:rsidP="00515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3"/>
    <w:rsid w:val="00056C6D"/>
    <w:rsid w:val="000A4FB3"/>
    <w:rsid w:val="000E5260"/>
    <w:rsid w:val="001226E1"/>
    <w:rsid w:val="00151022"/>
    <w:rsid w:val="002D7CD9"/>
    <w:rsid w:val="00392B37"/>
    <w:rsid w:val="003A2A03"/>
    <w:rsid w:val="0040180D"/>
    <w:rsid w:val="00475B0D"/>
    <w:rsid w:val="00492745"/>
    <w:rsid w:val="00515FA2"/>
    <w:rsid w:val="005B4D5D"/>
    <w:rsid w:val="005C0784"/>
    <w:rsid w:val="006241C2"/>
    <w:rsid w:val="00630D5D"/>
    <w:rsid w:val="006D7FFA"/>
    <w:rsid w:val="00731564"/>
    <w:rsid w:val="0077279F"/>
    <w:rsid w:val="007A707C"/>
    <w:rsid w:val="00901315"/>
    <w:rsid w:val="00975D76"/>
    <w:rsid w:val="009A53C6"/>
    <w:rsid w:val="009C286A"/>
    <w:rsid w:val="00A15E91"/>
    <w:rsid w:val="00A76106"/>
    <w:rsid w:val="00B27982"/>
    <w:rsid w:val="00B464D1"/>
    <w:rsid w:val="00B53C78"/>
    <w:rsid w:val="00E208AE"/>
    <w:rsid w:val="00EA3451"/>
    <w:rsid w:val="00F50499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7C87"/>
  <w15:chartTrackingRefBased/>
  <w15:docId w15:val="{3B7B5645-8AB3-47F7-9BBD-6CF8CB5C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15F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5F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5FA2"/>
    <w:rPr>
      <w:vertAlign w:val="superscript"/>
    </w:rPr>
  </w:style>
  <w:style w:type="character" w:styleId="a7">
    <w:name w:val="Strong"/>
    <w:basedOn w:val="a0"/>
    <w:uiPriority w:val="22"/>
    <w:qFormat/>
    <w:rsid w:val="00492745"/>
    <w:rPr>
      <w:b/>
      <w:bCs/>
    </w:rPr>
  </w:style>
  <w:style w:type="character" w:styleId="a8">
    <w:name w:val="Emphasis"/>
    <w:basedOn w:val="a0"/>
    <w:uiPriority w:val="20"/>
    <w:qFormat/>
    <w:rsid w:val="0049274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9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4</cp:revision>
  <dcterms:created xsi:type="dcterms:W3CDTF">2025-03-02T15:46:00Z</dcterms:created>
  <dcterms:modified xsi:type="dcterms:W3CDTF">2025-03-03T17:43:00Z</dcterms:modified>
</cp:coreProperties>
</file>