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Основы местоимений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теб-, тоб-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косвенных падежах в памятниках деловой письменности XIV-XV вв.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Оборина Полина Павловна</w:t>
      </w:r>
    </w:p>
    <w:p w:rsidR="00000000" w:rsidDel="00000000" w:rsidP="00000000" w:rsidRDefault="00000000" w:rsidRPr="00000000" w14:paraId="00000003">
      <w:pPr>
        <w:spacing w:after="12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имени М.В. Ломоносова, Москва, Россия</w:t>
      </w:r>
    </w:p>
    <w:p w:rsidR="00000000" w:rsidDel="00000000" w:rsidP="00000000" w:rsidRDefault="00000000" w:rsidRPr="00000000" w14:paraId="00000004">
      <w:pPr>
        <w:spacing w:after="120"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докладе рассматривается употребление местоимения 2-го л. и возвратного в памятниках деловой письменности XIV–XV вв. Материалом исследования послужили духовные и договорные грамоты по изданию [Духовные и договорные грамоты великих и удельных князей XIV-XVI вв. 1950] (далее – ДДГ). В скобках рядом с примерами указан номер текста и время его написания. В издании отсутствует локализация памятников, поэтому сопоставление употребления местоимений с современными диалектными данными становится проблематичным. </w:t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Исходная система косвенных падежей местоимений 2-го лица и возвратного восстанавливается следующим образом: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" w:tblpY="15"/>
        <w:tblW w:w="66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2625"/>
        <w:gridCol w:w="2625"/>
        <w:tblGridChange w:id="0">
          <w:tblGrid>
            <w:gridCol w:w="1425"/>
            <w:gridCol w:w="2625"/>
            <w:gridCol w:w="2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Р. п. 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тебе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себе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 п. 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тобѣ, ти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собѣ, си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п. 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2"/>
                <w:sz w:val="24"/>
                <w:szCs w:val="24"/>
                <w:rtl w:val="0"/>
              </w:rPr>
              <w:t xml:space="preserve">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202122"/>
                <w:sz w:val="24"/>
                <w:szCs w:val="24"/>
                <w:rtl w:val="0"/>
              </w:rPr>
              <w:t xml:space="preserve">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п.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тобѣ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собѣ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Т.п.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тобою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собою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обоих местоимений основы Д.-М. пп. и Р.-В. пп. были разными. В Д.-М. пп. в исходной системе в основе был корневой гласный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-о-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тобѣ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в то время как в Р. п. (а после распада системы энклитик и в В. п.) - корневой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-е-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тебе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тебя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себе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себя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22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системе личных местоимений протекал процесс унификации основ, в результате которого основы местоимений могли выравниваться по Д.-М. пп. (с основами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или по Р.-В. пп. (с основами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Процесс выравнивания шел постепенно, поэтому до его завершения основы с корневым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-о-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с корневым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-е-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могли сосуществовать и конкурировать. </w:t>
      </w:r>
    </w:p>
    <w:p w:rsidR="00000000" w:rsidDel="00000000" w:rsidP="00000000" w:rsidRDefault="00000000" w:rsidRPr="00000000" w14:paraId="00000023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ДДГ обнаруживаются оба варианта основ, часто они встречаются в рамках одной грамоты, что отражает протекание процесса унификации. </w:t>
      </w:r>
    </w:p>
    <w:p w:rsidR="00000000" w:rsidDel="00000000" w:rsidP="00000000" w:rsidRDefault="00000000" w:rsidRPr="00000000" w14:paraId="00000024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примеров употребления местоимения 2-го л. и возвратного в Р.-В. пп. и Д.-М. пп. показал, что выравнивание могло произойти дважды. Первые примеры из ДДГ (середина XIV и конец XV в.) говорят о том, что могла быть сильная тенденция к унификации по основам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(грамот XIV в. немного, так что остаточные основы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Р.-М. пп. могли не отразиться); Однако примеров употребления возвратного местоимения в В. п. не найдено, так что можно только предположить, что и основа В.п. возвратного местоимения была параллельна основе Р. п. Примеры из грамот середины XIV – начала XV в. даны ниже.</w:t>
      </w:r>
    </w:p>
    <w:p w:rsidR="00000000" w:rsidDel="00000000" w:rsidP="00000000" w:rsidRDefault="00000000" w:rsidRPr="00000000" w14:paraId="0000002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Р. п.: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целовали есмы межи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со[бе]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кр(е)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тъ;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(2, около 1350-1351 г.);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тако же и мнѣ без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(5, около 1367 г.).</w:t>
      </w:r>
    </w:p>
    <w:p w:rsidR="00000000" w:rsidDel="00000000" w:rsidP="00000000" w:rsidRDefault="00000000" w:rsidRPr="00000000" w14:paraId="00000026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п.: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мнѣ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кормити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(5, около 1367 г.);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иму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обидѣти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(7,около 1374-1375 г.);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поиду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(9; 1375 г.). </w:t>
      </w:r>
    </w:p>
    <w:p w:rsidR="00000000" w:rsidDel="00000000" w:rsidP="00000000" w:rsidRDefault="00000000" w:rsidRPr="00000000" w14:paraId="00000027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п.: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 приказываю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sz w:val="24"/>
          <w:szCs w:val="24"/>
          <w:highlight w:val="white"/>
          <w:rtl w:val="0"/>
        </w:rPr>
        <w:t xml:space="preserve">ѣ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rtl w:val="0"/>
        </w:rPr>
        <w:t xml:space="preserve"> сну своѥму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(1а, 1339 г.);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амъ ихъ 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не приимати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(2, около 1350-1351 г.)</w:t>
      </w:r>
    </w:p>
    <w:p w:rsidR="00000000" w:rsidDel="00000000" w:rsidP="00000000" w:rsidRDefault="00000000" w:rsidRPr="00000000" w14:paraId="00000028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 п.: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 есмь дал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при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sz w:val="24"/>
          <w:szCs w:val="24"/>
          <w:highlight w:val="white"/>
          <w:rtl w:val="0"/>
        </w:rPr>
        <w:t xml:space="preserve">ѣ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(1а, 1339 г.);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по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тобѣ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помагати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(9, 1375 г.). </w:t>
      </w:r>
    </w:p>
    <w:p w:rsidR="00000000" w:rsidDel="00000000" w:rsidP="00000000" w:rsidRDefault="00000000" w:rsidRPr="00000000" w14:paraId="00000029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Первые примеры употребления основ с корневым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-е-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найдены в грамотах 9 (1375 г.), 10 (1382 г.), 11 (1389 г.) и 14 (не ранее 1390 г.), однако встречаются и основы с корневым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-о-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Примеры с основами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из этих грамот даны ниже. </w:t>
      </w:r>
    </w:p>
    <w:p w:rsidR="00000000" w:rsidDel="00000000" w:rsidP="00000000" w:rsidRDefault="00000000" w:rsidRPr="00000000" w14:paraId="0000002B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п.: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поиду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на на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татарове или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4"/>
          <w:sz w:val="24"/>
          <w:szCs w:val="24"/>
          <w:rtl w:val="0"/>
        </w:rPr>
        <w:t xml:space="preserve">тебе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искати пере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тебе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(9, 1375 г.)</w:t>
      </w:r>
    </w:p>
    <w:p w:rsidR="00000000" w:rsidDel="00000000" w:rsidP="00000000" w:rsidRDefault="00000000" w:rsidRPr="00000000" w14:paraId="0000002C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п.: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себѣ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изберу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(10, 1382 г.);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 коли ми буде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самому вѣсти на конь, 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тебѣ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 мною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(11, 1389 г.)</w:t>
      </w:r>
    </w:p>
    <w:p w:rsidR="00000000" w:rsidDel="00000000" w:rsidP="00000000" w:rsidRDefault="00000000" w:rsidRPr="00000000" w14:paraId="0000002D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Р.п.: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 канчивати бе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тебе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(14, не ранее 1390 г.). </w:t>
      </w:r>
    </w:p>
    <w:p w:rsidR="00000000" w:rsidDel="00000000" w:rsidP="00000000" w:rsidRDefault="00000000" w:rsidRPr="00000000" w14:paraId="0000002E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 с корневым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М. п. не было обнаружено. </w:t>
      </w:r>
    </w:p>
    <w:p w:rsidR="00000000" w:rsidDel="00000000" w:rsidP="00000000" w:rsidRDefault="00000000" w:rsidRPr="00000000" w14:paraId="0000002F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с конца XIV в. начинается новый процесс выравнивания, в течение которого конкурируют основы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тоб-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середине XV в. процесс не завершился, основы продолжали сосуществовать, и обе основы могли встречаться в рамках одной грамоты начиная с конца XIV в. Примеры из одной из таких грамот (38 I а, 1441-1442 г.) даны ниже. </w:t>
      </w:r>
    </w:p>
    <w:p w:rsidR="00000000" w:rsidDel="00000000" w:rsidP="00000000" w:rsidRDefault="00000000" w:rsidRPr="00000000" w14:paraId="00000031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Р. п.: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ни мнѣ не канчивати бес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 оу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тебѧ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ми имати выхо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В. п.: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мнѣ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тобѧ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с тѣмъ оучинити в докончанiи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мнѣ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тебѧ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держати в бра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ствѣ.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Д. п.: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к тому целова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 сложыти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штω есмь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примысли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тебѣ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со мною поити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 беру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себѣ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4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анализе примеров употребления возвратного местоимения в разных падежах в рамках одной грамоты не было обнаружено вариативности основ (сравнивались только грамоты, где есть примеры на разные падежи). Чаще употребляется основа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чем основа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 примеров местоимения 2-го л. в разных падежах в рамках одной грамоты показывает другие результаты. Встречается вариативность основ в рамках одной грамоты в разных падежах. В тех же грамотах, где не прослеживается вариативности основ, в большинстве случаев употребляется основа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данные, полученные из ДДГ, говорят о том, что в середине XIV в. местоимения 2-го л. и возвратное в Р.-В. пп. имели сильную тенденцию к унификации по основам Д.-М.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тоб-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соб-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Начиная с конца XIV в. пошел обратный процесс: выравнивание основ местоимений 2-го л. и возвратного в Д.-М. пп. по остаточным основам Р.-В. пп.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-, так что во всех четырех падежах какое-то время сосуществовали и конкурировали основы с корневым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-е-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с корневым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-о-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 к середине XV в. выравнивание еще не завершилось. 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3A">
      <w:pPr>
        <w:spacing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Духовные и договорные грамоты великих и удельных князей XIV-XVI вв. 1950 – Д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уховные и договорные грамоты великих и удельных князей XIV-XVI вв. / Подгот. к печати Л.В. Черепнин.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М.; Л.: Изд-во Акад. наук СССР, 1950.</w:t>
      </w:r>
    </w:p>
    <w:p w:rsidR="00000000" w:rsidDel="00000000" w:rsidP="00000000" w:rsidRDefault="00000000" w:rsidRPr="00000000" w14:paraId="0000003C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133" w:top="1133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Balloon Text"/>
    <w:basedOn w:val="a"/>
    <w:link w:val="a7"/>
    <w:uiPriority w:val="99"/>
    <w:semiHidden w:val="1"/>
    <w:unhideWhenUsed w:val="1"/>
    <w:rsid w:val="005041B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5041B6"/>
    <w:rPr>
      <w:rFonts w:ascii="Segoe UI" w:cs="Segoe UI" w:hAnsi="Segoe UI"/>
      <w:sz w:val="18"/>
      <w:szCs w:val="18"/>
    </w:rPr>
  </w:style>
  <w:style w:type="character" w:styleId="a8">
    <w:name w:val="annotation reference"/>
    <w:basedOn w:val="a0"/>
    <w:uiPriority w:val="99"/>
    <w:semiHidden w:val="1"/>
    <w:unhideWhenUsed w:val="1"/>
    <w:rsid w:val="005041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 w:val="1"/>
    <w:unhideWhenUsed w:val="1"/>
    <w:rsid w:val="005041B6"/>
    <w:pPr>
      <w:spacing w:line="240" w:lineRule="auto"/>
    </w:pPr>
    <w:rPr>
      <w:sz w:val="20"/>
      <w:szCs w:val="20"/>
    </w:rPr>
  </w:style>
  <w:style w:type="character" w:styleId="aa" w:customStyle="1">
    <w:name w:val="Текст примечания Знак"/>
    <w:basedOn w:val="a0"/>
    <w:link w:val="a9"/>
    <w:uiPriority w:val="99"/>
    <w:semiHidden w:val="1"/>
    <w:rsid w:val="005041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 w:val="1"/>
    <w:unhideWhenUsed w:val="1"/>
    <w:rsid w:val="005041B6"/>
    <w:rPr>
      <w:b w:val="1"/>
      <w:bCs w:val="1"/>
    </w:rPr>
  </w:style>
  <w:style w:type="character" w:styleId="ac" w:customStyle="1">
    <w:name w:val="Тема примечания Знак"/>
    <w:basedOn w:val="aa"/>
    <w:link w:val="ab"/>
    <w:uiPriority w:val="99"/>
    <w:semiHidden w:val="1"/>
    <w:rsid w:val="005041B6"/>
    <w:rPr>
      <w:b w:val="1"/>
      <w:bCs w:val="1"/>
      <w:sz w:val="20"/>
      <w:szCs w:val="20"/>
    </w:r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bmgu.ru/order/storing.aspx?uid=c1cd87fb-d5ca-4cb0-8899-fc6e771b9a28&amp;cat=book&amp;db=BOOK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uzRK3FHCQlbb59QuEdtV+N+BQ==">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2025-02-27T12:18:00Z</dcterms:created>
  <dc:creator>Елена Галинская</dc:creator>
</cp:coreProperties>
</file>