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ncloudtech.com/ooxml/script+xml" PartName="/word/scripts/Script1.xml"/>
  <Override ContentType="application/ncloudtech.com/ooxml/script+xml" PartName="/word/scripts/Script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«Опыт Российского </w:t>
      </w:r>
      <w:r>
        <w:rPr>
          <w:rFonts w:ascii="Times New Roman" w:hAnsi="Times New Roman"/>
          <w:b w:val="1"/>
          <w:sz w:val="24"/>
        </w:rPr>
        <w:t>сословника</w:t>
      </w:r>
      <w:r>
        <w:rPr>
          <w:rFonts w:ascii="Times New Roman" w:hAnsi="Times New Roman"/>
          <w:b w:val="1"/>
          <w:sz w:val="24"/>
        </w:rPr>
        <w:t>» Д.И. Фонвизина как первый русский словарь синонимов (в сопоставлении с</w:t>
      </w:r>
      <w:r>
        <w:rPr>
          <w:rFonts w:ascii="Times New Roman" w:hAnsi="Times New Roman"/>
          <w:b w:val="1"/>
          <w:sz w:val="24"/>
        </w:rPr>
        <w:t>о «Словарем Академии Российской»)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Свирина Мария Кирилловна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Студентка Московского государственного университета имени М.В. Ломоносова, Москва, Россия</w:t>
      </w:r>
    </w:p>
    <w:p w14:paraId="04000000">
      <w:pPr>
        <w:spacing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 xml:space="preserve"> Понимание синонимии в современном языкознании остается неоднозначным: в разных концепциях в качестве синонимов рассматриваются как слова с абсолютно тождественным значением, так и слова, имеющие семантические и/или стилистические различия. </w:t>
      </w:r>
      <w:r>
        <w:rPr>
          <w:rFonts w:ascii="Times New Roman" w:hAnsi="Times New Roman"/>
          <w:sz w:val="24"/>
        </w:rPr>
        <w:t>В связи с этим целесообразно обратиться к первой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отечественной лексикографии </w:t>
      </w:r>
      <w:r>
        <w:rPr>
          <w:rFonts w:ascii="Times New Roman" w:hAnsi="Times New Roman"/>
          <w:sz w:val="24"/>
        </w:rPr>
        <w:t>попытке разграничения синонимов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предпринятой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Д.И. Фонвизин</w:t>
      </w:r>
      <w:r>
        <w:rPr>
          <w:rFonts w:ascii="Times New Roman" w:hAnsi="Times New Roman"/>
          <w:sz w:val="24"/>
        </w:rPr>
        <w:t xml:space="preserve">ым в словаре </w:t>
      </w:r>
      <w:r>
        <w:rPr>
          <w:rFonts w:ascii="Times New Roman" w:hAnsi="Times New Roman"/>
          <w:sz w:val="24"/>
        </w:rPr>
        <w:t xml:space="preserve">«Опыт Российского </w:t>
      </w:r>
      <w:r>
        <w:rPr>
          <w:rFonts w:ascii="Times New Roman" w:hAnsi="Times New Roman"/>
          <w:sz w:val="24"/>
        </w:rPr>
        <w:t>сословника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далее –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i w:val="1"/>
          <w:sz w:val="24"/>
        </w:rPr>
        <w:t>.</w:t>
      </w:r>
    </w:p>
    <w:p w14:paraId="0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 xml:space="preserve"> Проблема синонимии </w:t>
      </w:r>
      <w:r>
        <w:rPr>
          <w:rFonts w:ascii="Times New Roman" w:hAnsi="Times New Roman"/>
          <w:sz w:val="24"/>
        </w:rPr>
        <w:t>привлекала особое внимание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Д.И. Фонвизина </w:t>
      </w:r>
      <w:r>
        <w:rPr>
          <w:rFonts w:ascii="Times New Roman" w:hAnsi="Times New Roman"/>
          <w:sz w:val="24"/>
        </w:rPr>
        <w:t>в связи</w:t>
      </w:r>
      <w:r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</w:rPr>
        <w:t>разработк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лексикографических принципов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«Словаря Академии Российской» (далее – САР), в создании которого он принимал активное участие. В «Начертании для составления толкового словаря славяно-российского языка» Д.И. Фонвизин утверждал необходимость совмещения описательного и синонимического способов толкования, поскольку «сослова</w:t>
      </w:r>
      <w:r>
        <w:rPr>
          <w:rFonts w:ascii="Times New Roman" w:hAnsi="Times New Roman"/>
          <w:sz w:val="24"/>
        </w:rPr>
        <w:t xml:space="preserve"> не заключают в себе с </w:t>
      </w:r>
      <w:r>
        <w:rPr>
          <w:rFonts w:ascii="Times New Roman" w:hAnsi="Times New Roman"/>
          <w:sz w:val="24"/>
        </w:rPr>
        <w:t>точностию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одинакого</w:t>
      </w:r>
      <w:r>
        <w:rPr>
          <w:rFonts w:ascii="Times New Roman" w:hAnsi="Times New Roman"/>
          <w:sz w:val="24"/>
        </w:rPr>
        <w:t xml:space="preserve"> смысла и &lt;...&gt; не всегда одно за другое употребляться может» [Фонвизин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243]. Сходная мысль была высказана им в «Примечании на критику, напечатанную на 113 и 114 страницах II части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Собеседника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, касающуюся до Опыта Российского </w:t>
      </w:r>
      <w:r>
        <w:rPr>
          <w:rFonts w:ascii="Times New Roman" w:hAnsi="Times New Roman"/>
          <w:sz w:val="24"/>
        </w:rPr>
        <w:t>сословника</w:t>
      </w:r>
      <w:r>
        <w:rPr>
          <w:rFonts w:ascii="Times New Roman" w:hAnsi="Times New Roman"/>
          <w:sz w:val="24"/>
        </w:rPr>
        <w:t>»:</w:t>
      </w:r>
      <w:r>
        <w:rPr>
          <w:rFonts w:ascii="Times New Roman" w:hAnsi="Times New Roman"/>
          <w:sz w:val="24"/>
        </w:rPr>
        <w:t xml:space="preserve"> «...одно слово не объемлет никогда всего пространства и всей силы знаменования другого слова, и &lt;...&gt; все сходство между ними состоит только в главной идее» </w:t>
      </w:r>
      <w:r>
        <w:rPr>
          <w:rFonts w:ascii="Times New Roman" w:hAnsi="Times New Roman"/>
          <w:sz w:val="24"/>
        </w:rPr>
        <w:t xml:space="preserve">[Там же: 238]. Подобным образом понятие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синоними</w:t>
      </w:r>
      <w:r>
        <w:rPr>
          <w:rFonts w:ascii="Times New Roman" w:hAnsi="Times New Roman"/>
          <w:sz w:val="24"/>
        </w:rPr>
        <w:t>я»</w:t>
      </w:r>
      <w:r>
        <w:rPr>
          <w:rFonts w:ascii="Times New Roman" w:hAnsi="Times New Roman"/>
          <w:sz w:val="24"/>
        </w:rPr>
        <w:t xml:space="preserve"> рассматривается в трудах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современных </w:t>
      </w:r>
      <w:r>
        <w:rPr>
          <w:rFonts w:ascii="Times New Roman" w:hAnsi="Times New Roman"/>
          <w:sz w:val="24"/>
        </w:rPr>
        <w:t>исследователей, например, в «Словаре синонимов русского языка» А.П. Евгеньевой.</w:t>
      </w:r>
    </w:p>
    <w:p w14:paraId="0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 xml:space="preserve"> Взгляд Д.И. Фонвизина на проблему синонимии нашел отражение в </w:t>
      </w:r>
      <w:r>
        <w:rPr>
          <w:rFonts w:ascii="Times New Roman" w:hAnsi="Times New Roman"/>
          <w:sz w:val="24"/>
        </w:rPr>
        <w:t>ОРС</w:t>
      </w:r>
      <w:r>
        <w:rPr>
          <w:rFonts w:ascii="Times New Roman" w:hAnsi="Times New Roman"/>
          <w:sz w:val="24"/>
        </w:rPr>
        <w:t xml:space="preserve"> – первом русском словаре синонимов. Словарь содержит 32 синонимических ряда, каждый из которых сопровождается толкованием входящих в него слов, а также иллюстративным материалом. При толковании Д.И. Фонвизин стремится к краткости, важность которой в работе лексикографа подчеркивается им в «Начертании для составления толкового словаря славяно-российского языка»</w:t>
      </w:r>
      <w:r>
        <w:rPr>
          <w:rFonts w:ascii="Times New Roman" w:hAnsi="Times New Roman"/>
          <w:sz w:val="24"/>
        </w:rPr>
        <w:t>: «Когда необходимость велит изъяснить идею посредством других сторонних, то стараться надобно, чтоб число сих последних было как можно меньше» [</w:t>
      </w:r>
      <w:r>
        <w:rPr>
          <w:rFonts w:ascii="Times New Roman" w:hAnsi="Times New Roman"/>
          <w:sz w:val="24"/>
        </w:rPr>
        <w:t>Там же: 243]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Что касается иллюстративного материала, то он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по мнению Г.П. Макагоненко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представляет особый интерес, поскольку значительная часть примеров содержит сатиру на общество XVIII века и отражает те недостатки, которые Д.И. Фонвизин в нем усматривает</w:t>
      </w:r>
      <w:r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sz w:val="24"/>
        </w:rPr>
        <w:t xml:space="preserve">Там же: 621]. Примером может послужить комментарий к синонимическому ряду </w:t>
      </w:r>
      <w:r>
        <w:rPr>
          <w:rFonts w:ascii="Times New Roman" w:hAnsi="Times New Roman"/>
          <w:i w:val="1"/>
          <w:sz w:val="24"/>
        </w:rPr>
        <w:t xml:space="preserve">обманывать, </w:t>
      </w:r>
      <w:r>
        <w:rPr>
          <w:rFonts w:ascii="Times New Roman" w:hAnsi="Times New Roman"/>
          <w:i w:val="1"/>
          <w:sz w:val="24"/>
        </w:rPr>
        <w:t>проманивать</w:t>
      </w:r>
      <w:r>
        <w:rPr>
          <w:rFonts w:ascii="Times New Roman" w:hAnsi="Times New Roman"/>
          <w:i w:val="1"/>
          <w:sz w:val="24"/>
        </w:rPr>
        <w:t xml:space="preserve">, проводить, </w:t>
      </w:r>
      <w:r>
        <w:rPr>
          <w:rFonts w:ascii="Times New Roman" w:hAnsi="Times New Roman"/>
          <w:sz w:val="24"/>
        </w:rPr>
        <w:t>где отрицательной оценке подвергаются действия бояр и чиновников: «</w:t>
      </w:r>
      <w:r>
        <w:rPr>
          <w:rFonts w:ascii="Times New Roman" w:hAnsi="Times New Roman"/>
          <w:i w:val="1"/>
          <w:sz w:val="24"/>
        </w:rPr>
        <w:t>...</w:t>
      </w:r>
      <w:r>
        <w:rPr>
          <w:rFonts w:ascii="Times New Roman" w:hAnsi="Times New Roman"/>
          <w:i w:val="1"/>
          <w:sz w:val="24"/>
        </w:rPr>
        <w:t>Проманивать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есть больших бояр искусство. Стряпчие обыкновенно</w:t>
      </w:r>
      <w:r>
        <w:rPr>
          <w:rFonts w:ascii="Times New Roman" w:hAnsi="Times New Roman"/>
          <w:i w:val="1"/>
          <w:sz w:val="24"/>
        </w:rPr>
        <w:t xml:space="preserve"> проводят</w:t>
      </w:r>
      <w:r>
        <w:rPr>
          <w:rFonts w:ascii="Times New Roman" w:hAnsi="Times New Roman"/>
          <w:sz w:val="24"/>
        </w:rPr>
        <w:t xml:space="preserve"> челобитчиков» [Там же: 224].</w:t>
      </w:r>
    </w:p>
    <w:p w14:paraId="0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4.1.</w:t>
      </w:r>
      <w:r>
        <w:rPr>
          <w:rFonts w:ascii="Times New Roman" w:hAnsi="Times New Roman"/>
          <w:sz w:val="24"/>
        </w:rPr>
        <w:t xml:space="preserve"> Значение работы Д.И. Фонвизина </w:t>
      </w:r>
      <w:r>
        <w:rPr>
          <w:rFonts w:ascii="Times New Roman" w:hAnsi="Times New Roman"/>
          <w:sz w:val="24"/>
        </w:rPr>
        <w:t>над теорией синонимов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наиболее отчетливо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 xml:space="preserve"> сопоставительном анализе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выделенных им синонимических рядов с толкованиями входящих в них слов в САР. Для сопоставления было отобрано три синонимических ряда. Словам первого из них – </w:t>
      </w:r>
      <w:r>
        <w:rPr>
          <w:rFonts w:ascii="Times New Roman" w:hAnsi="Times New Roman"/>
          <w:i w:val="1"/>
          <w:sz w:val="24"/>
        </w:rPr>
        <w:t>беспорочность, добродетель, честь</w:t>
      </w:r>
      <w:r>
        <w:rPr>
          <w:rFonts w:ascii="Times New Roman" w:hAnsi="Times New Roman"/>
          <w:sz w:val="24"/>
        </w:rPr>
        <w:t xml:space="preserve"> – в САР даны толкования, максимально учитывающие обнаруженные Д.И. Фонвизиным семантические различия. Так, согласно </w:t>
      </w:r>
      <w:r>
        <w:rPr>
          <w:rFonts w:ascii="Times New Roman" w:hAnsi="Times New Roman"/>
          <w:sz w:val="24"/>
        </w:rPr>
        <w:t>ОРС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беспорочность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«поставляет себе правилом не делать того другому, чего бы не пожелал себе»,</w:t>
      </w:r>
      <w:r>
        <w:rPr>
          <w:rFonts w:ascii="Times New Roman" w:hAnsi="Times New Roman"/>
          <w:sz w:val="24"/>
        </w:rPr>
        <w:t xml:space="preserve"> а в САР определяется как «неимение порока»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Добродетель</w:t>
      </w:r>
      <w:r>
        <w:rPr>
          <w:rFonts w:ascii="Times New Roman" w:hAnsi="Times New Roman"/>
          <w:sz w:val="24"/>
        </w:rPr>
        <w:t xml:space="preserve"> «велит</w:t>
      </w:r>
      <w:r>
        <w:rPr>
          <w:rFonts w:ascii="Times New Roman" w:hAnsi="Times New Roman"/>
          <w:b w:val="1"/>
          <w:sz w:val="24"/>
        </w:rPr>
        <w:t xml:space="preserve"> делать</w:t>
      </w:r>
      <w:r>
        <w:rPr>
          <w:rFonts w:ascii="Times New Roman" w:hAnsi="Times New Roman"/>
          <w:sz w:val="24"/>
        </w:rPr>
        <w:t xml:space="preserve"> то другим, чего бы пожелал себе».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предложенном определении значимо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только отсутствие дурного поступка, но и совершение хорошего, что отражается и в толковании </w:t>
      </w:r>
      <w:r>
        <w:rPr>
          <w:rFonts w:ascii="Times New Roman" w:hAnsi="Times New Roman"/>
          <w:sz w:val="24"/>
        </w:rPr>
        <w:t>этого слова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САР: «Способность или преклонность души </w:t>
      </w:r>
      <w:r>
        <w:rPr>
          <w:rFonts w:ascii="Times New Roman" w:hAnsi="Times New Roman"/>
          <w:b w:val="1"/>
          <w:sz w:val="24"/>
        </w:rPr>
        <w:t>поступать</w:t>
      </w:r>
      <w:r>
        <w:rPr>
          <w:rFonts w:ascii="Times New Roman" w:hAnsi="Times New Roman"/>
          <w:sz w:val="24"/>
        </w:rPr>
        <w:t xml:space="preserve"> согласно с законом естественным и правилами веры...».</w:t>
      </w:r>
      <w:r>
        <w:rPr>
          <w:rFonts w:ascii="Times New Roman" w:hAnsi="Times New Roman"/>
          <w:sz w:val="24"/>
        </w:rPr>
        <w:t xml:space="preserve"> Основанием для противопоставления </w:t>
      </w:r>
      <w:r>
        <w:rPr>
          <w:rFonts w:ascii="Times New Roman" w:hAnsi="Times New Roman"/>
          <w:sz w:val="24"/>
        </w:rPr>
        <w:t>этой пары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синонимов </w:t>
      </w:r>
      <w:r>
        <w:rPr>
          <w:rFonts w:ascii="Times New Roman" w:hAnsi="Times New Roman"/>
          <w:sz w:val="24"/>
        </w:rPr>
        <w:t>можно считать такой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семантический п</w:t>
      </w:r>
      <w:r>
        <w:rPr>
          <w:rFonts w:ascii="Times New Roman" w:hAnsi="Times New Roman"/>
          <w:sz w:val="24"/>
        </w:rPr>
        <w:t>араметр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как </w:t>
      </w:r>
      <w:r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ктивность субъекта</w:t>
      </w:r>
      <w:r>
        <w:rPr>
          <w:rFonts w:ascii="Times New Roman" w:hAnsi="Times New Roman"/>
          <w:sz w:val="24"/>
        </w:rPr>
        <w:t xml:space="preserve"> в совершении добрых дел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Имя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ч</w:t>
      </w:r>
      <w:r>
        <w:rPr>
          <w:rFonts w:ascii="Times New Roman" w:hAnsi="Times New Roman"/>
          <w:i w:val="1"/>
          <w:sz w:val="24"/>
        </w:rPr>
        <w:t>есть</w:t>
      </w:r>
      <w:r>
        <w:rPr>
          <w:rFonts w:ascii="Times New Roman" w:hAnsi="Times New Roman"/>
          <w:sz w:val="24"/>
        </w:rPr>
        <w:t xml:space="preserve"> также имеет сходные толкования в обоих словарях. В САР перв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z w:val="24"/>
        </w:rPr>
        <w:t xml:space="preserve"> значение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толкуется как </w:t>
      </w:r>
      <w:r>
        <w:rPr>
          <w:rFonts w:ascii="Times New Roman" w:hAnsi="Times New Roman"/>
          <w:sz w:val="24"/>
        </w:rPr>
        <w:t>«внутреннее</w:t>
      </w:r>
      <w:r>
        <w:rPr>
          <w:rFonts w:ascii="Times New Roman" w:hAnsi="Times New Roman"/>
          <w:sz w:val="24"/>
        </w:rPr>
        <w:t xml:space="preserve"> убеждение о преимущественном достоинстве чьем-либо»</w:t>
      </w:r>
      <w:r>
        <w:rPr>
          <w:rFonts w:ascii="Times New Roman" w:hAnsi="Times New Roman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а Д.И. Фонвизин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честным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считает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такого человека, в душе которого «есть нечто величавое, влекущее его мыслить и действовать благородно».</w:t>
      </w:r>
      <w:r>
        <w:rPr>
          <w:rFonts w:ascii="Times New Roman" w:hAnsi="Times New Roman"/>
          <w:sz w:val="24"/>
        </w:rPr>
        <w:t xml:space="preserve"> В основе каждого из </w:t>
      </w:r>
      <w:r>
        <w:rPr>
          <w:rFonts w:ascii="Times New Roman" w:hAnsi="Times New Roman"/>
          <w:sz w:val="24"/>
        </w:rPr>
        <w:t>этих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лежит понятие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внутреннее</w:t>
      </w:r>
      <w:r>
        <w:rPr>
          <w:rFonts w:ascii="Times New Roman" w:hAnsi="Times New Roman"/>
          <w:sz w:val="24"/>
        </w:rPr>
        <w:t xml:space="preserve"> достоинств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человека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0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4.2.</w:t>
      </w:r>
      <w:r>
        <w:rPr>
          <w:rFonts w:ascii="Times New Roman" w:hAnsi="Times New Roman"/>
          <w:sz w:val="24"/>
        </w:rPr>
        <w:t xml:space="preserve"> Для другого ряда слов – </w:t>
      </w:r>
      <w:r>
        <w:rPr>
          <w:rFonts w:ascii="Times New Roman" w:hAnsi="Times New Roman"/>
          <w:i w:val="1"/>
          <w:sz w:val="24"/>
        </w:rPr>
        <w:t>ленивый, праздный</w:t>
      </w:r>
      <w:r>
        <w:rPr>
          <w:rFonts w:ascii="Times New Roman" w:hAnsi="Times New Roman"/>
          <w:sz w:val="24"/>
        </w:rPr>
        <w:t xml:space="preserve"> – толкования в двух словарях совпадают только частично. Так, </w:t>
      </w:r>
      <w:r>
        <w:rPr>
          <w:rFonts w:ascii="Times New Roman" w:hAnsi="Times New Roman"/>
          <w:i w:val="1"/>
          <w:sz w:val="24"/>
        </w:rPr>
        <w:t>ленивый</w:t>
      </w:r>
      <w:r>
        <w:rPr>
          <w:rFonts w:ascii="Times New Roman" w:hAnsi="Times New Roman"/>
          <w:sz w:val="24"/>
        </w:rPr>
        <w:t> в САР определяется как тот, кто «труда страшится»,</w:t>
      </w:r>
      <w:r>
        <w:rPr>
          <w:rFonts w:ascii="Times New Roman" w:hAnsi="Times New Roman"/>
          <w:sz w:val="24"/>
        </w:rPr>
        <w:t xml:space="preserve"> а </w:t>
      </w:r>
      <w:r>
        <w:rPr>
          <w:rFonts w:ascii="Times New Roman" w:hAnsi="Times New Roman"/>
          <w:i w:val="1"/>
          <w:sz w:val="24"/>
        </w:rPr>
        <w:t>праздный</w:t>
      </w:r>
      <w:r>
        <w:rPr>
          <w:rFonts w:ascii="Times New Roman" w:hAnsi="Times New Roman"/>
          <w:sz w:val="24"/>
        </w:rPr>
        <w:t xml:space="preserve"> – «не имеющий никакого упражнения, находящийся без дела».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 w:val="1"/>
          <w:sz w:val="24"/>
        </w:rPr>
        <w:t>ленивый </w:t>
      </w:r>
      <w:r>
        <w:rPr>
          <w:rFonts w:ascii="Times New Roman" w:hAnsi="Times New Roman"/>
          <w:sz w:val="24"/>
        </w:rPr>
        <w:t>отмечается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стремление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 деятельности</w:t>
      </w:r>
      <w:r>
        <w:rPr>
          <w:rFonts w:ascii="Times New Roman" w:hAnsi="Times New Roman"/>
          <w:sz w:val="24"/>
        </w:rPr>
        <w:t>, тогда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слове </w:t>
      </w:r>
      <w:r>
        <w:rPr>
          <w:rFonts w:ascii="Times New Roman" w:hAnsi="Times New Roman"/>
          <w:i w:val="1"/>
          <w:sz w:val="24"/>
        </w:rPr>
        <w:t>праздный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оно отсутствует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Но в</w:t>
      </w:r>
      <w:r>
        <w:rPr>
          <w:rFonts w:ascii="Times New Roman" w:hAnsi="Times New Roman"/>
          <w:sz w:val="24"/>
        </w:rPr>
        <w:t xml:space="preserve"> САР наличествует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синонимическое толкование</w:t>
      </w:r>
      <w:r>
        <w:rPr>
          <w:rFonts w:ascii="Times New Roman" w:hAnsi="Times New Roman"/>
          <w:sz w:val="24"/>
        </w:rPr>
        <w:t>: одно из значений слова </w:t>
      </w:r>
      <w:r>
        <w:rPr>
          <w:rFonts w:ascii="Times New Roman" w:hAnsi="Times New Roman"/>
          <w:i w:val="1"/>
          <w:sz w:val="24"/>
        </w:rPr>
        <w:t>праздный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определяется через </w:t>
      </w:r>
      <w:r>
        <w:rPr>
          <w:rFonts w:ascii="Times New Roman" w:hAnsi="Times New Roman"/>
          <w:sz w:val="24"/>
        </w:rPr>
        <w:t xml:space="preserve">слова </w:t>
      </w:r>
      <w:r>
        <w:rPr>
          <w:rFonts w:ascii="Times New Roman" w:hAnsi="Times New Roman"/>
          <w:i w:val="1"/>
          <w:sz w:val="24"/>
        </w:rPr>
        <w:t>ленивый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бездельный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Следует отметить, что в ОРС</w:t>
      </w:r>
      <w:r>
        <w:rPr>
          <w:rFonts w:ascii="Times New Roman" w:hAnsi="Times New Roman"/>
          <w:sz w:val="24"/>
        </w:rPr>
        <w:t xml:space="preserve"> Д.И. Фонвизин</w:t>
      </w:r>
      <w:r>
        <w:rPr>
          <w:rFonts w:ascii="Times New Roman" w:hAnsi="Times New Roman"/>
          <w:sz w:val="24"/>
        </w:rPr>
        <w:t xml:space="preserve"> дает более точное определение этих слов: </w:t>
      </w:r>
      <w:r>
        <w:rPr>
          <w:rFonts w:ascii="Times New Roman" w:hAnsi="Times New Roman"/>
          <w:sz w:val="24"/>
        </w:rPr>
        <w:t xml:space="preserve">«Ленивый боится при деле труда, а праздный не терпит самого дела. Трудолюбивый становится </w:t>
      </w:r>
      <w:r>
        <w:rPr>
          <w:rFonts w:ascii="Times New Roman" w:hAnsi="Times New Roman"/>
          <w:sz w:val="24"/>
        </w:rPr>
        <w:t xml:space="preserve">иногда ленивым, но не праздным, ибо праздный отроду не бывал трудолюбивым». </w:t>
      </w:r>
      <w:r>
        <w:rPr>
          <w:rFonts w:ascii="Times New Roman" w:hAnsi="Times New Roman"/>
          <w:sz w:val="24"/>
        </w:rPr>
        <w:t xml:space="preserve">Таким образом, </w:t>
      </w:r>
      <w:r>
        <w:rPr>
          <w:rFonts w:ascii="Times New Roman" w:hAnsi="Times New Roman"/>
          <w:sz w:val="24"/>
        </w:rPr>
        <w:t xml:space="preserve">в САР </w:t>
      </w:r>
      <w:r>
        <w:rPr>
          <w:rFonts w:ascii="Times New Roman" w:hAnsi="Times New Roman"/>
          <w:sz w:val="24"/>
        </w:rPr>
        <w:t>предпринята п</w:t>
      </w:r>
      <w:r>
        <w:rPr>
          <w:rFonts w:ascii="Times New Roman" w:hAnsi="Times New Roman"/>
          <w:sz w:val="24"/>
        </w:rPr>
        <w:t>опытка разграничения приведенных синонимов</w:t>
      </w:r>
      <w:r>
        <w:rPr>
          <w:rFonts w:ascii="Times New Roman" w:hAnsi="Times New Roman"/>
          <w:sz w:val="24"/>
        </w:rPr>
        <w:t xml:space="preserve">, но </w:t>
      </w:r>
      <w:r>
        <w:rPr>
          <w:rFonts w:ascii="Times New Roman" w:hAnsi="Times New Roman"/>
          <w:sz w:val="24"/>
        </w:rPr>
        <w:t xml:space="preserve">разграничение </w:t>
      </w:r>
      <w:r>
        <w:rPr>
          <w:rFonts w:ascii="Times New Roman" w:hAnsi="Times New Roman"/>
          <w:sz w:val="24"/>
        </w:rPr>
        <w:t>не было осуществлено последовательно.</w:t>
      </w:r>
    </w:p>
    <w:p w14:paraId="0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4.3.</w:t>
      </w:r>
      <w:r>
        <w:rPr>
          <w:rFonts w:ascii="Times New Roman" w:hAnsi="Times New Roman"/>
          <w:sz w:val="24"/>
        </w:rPr>
        <w:t xml:space="preserve"> Слова третьего ряда –</w:t>
      </w:r>
      <w:r>
        <w:rPr>
          <w:rFonts w:ascii="Times New Roman" w:hAnsi="Times New Roman"/>
          <w:i w:val="1"/>
          <w:sz w:val="24"/>
        </w:rPr>
        <w:t xml:space="preserve"> писец, писатель, сочинитель, творец – </w:t>
      </w:r>
      <w:r>
        <w:rPr>
          <w:rFonts w:ascii="Times New Roman" w:hAnsi="Times New Roman"/>
          <w:sz w:val="24"/>
        </w:rPr>
        <w:t xml:space="preserve">истолкованы в САР синонимически (кроме слова </w:t>
      </w:r>
      <w:r>
        <w:rPr>
          <w:rFonts w:ascii="Times New Roman" w:hAnsi="Times New Roman"/>
          <w:i w:val="1"/>
          <w:sz w:val="24"/>
        </w:rPr>
        <w:t>писец</w:t>
      </w:r>
      <w:r>
        <w:rPr>
          <w:rFonts w:ascii="Times New Roman" w:hAnsi="Times New Roman"/>
          <w:sz w:val="24"/>
        </w:rPr>
        <w:t xml:space="preserve">, более удаленного семантически от остальных слов в ряду): </w:t>
      </w:r>
      <w:r>
        <w:rPr>
          <w:rFonts w:ascii="Times New Roman" w:hAnsi="Times New Roman"/>
          <w:i w:val="1"/>
          <w:sz w:val="24"/>
        </w:rPr>
        <w:t>писатель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 w:val="1"/>
          <w:sz w:val="24"/>
        </w:rPr>
        <w:t>творец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определяются через слово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сочинитель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оно – </w:t>
      </w:r>
      <w:r>
        <w:rPr>
          <w:rFonts w:ascii="Times New Roman" w:hAnsi="Times New Roman"/>
          <w:sz w:val="24"/>
        </w:rPr>
        <w:t xml:space="preserve">через слово </w:t>
      </w:r>
      <w:r>
        <w:rPr>
          <w:rFonts w:ascii="Times New Roman" w:hAnsi="Times New Roman"/>
          <w:i w:val="1"/>
          <w:sz w:val="24"/>
        </w:rPr>
        <w:t>творец</w:t>
      </w:r>
      <w:r>
        <w:rPr>
          <w:rFonts w:ascii="Times New Roman" w:hAnsi="Times New Roman"/>
          <w:sz w:val="24"/>
        </w:rPr>
        <w:t xml:space="preserve">. </w:t>
      </w:r>
    </w:p>
    <w:p w14:paraId="0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24"/>
        </w:rPr>
        <w:t xml:space="preserve"> Вывод: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далеко не все </w:t>
      </w:r>
      <w:r>
        <w:rPr>
          <w:rFonts w:ascii="Times New Roman" w:hAnsi="Times New Roman"/>
          <w:sz w:val="24"/>
        </w:rPr>
        <w:t xml:space="preserve">семантические </w:t>
      </w:r>
      <w:r>
        <w:rPr>
          <w:rFonts w:ascii="Times New Roman" w:hAnsi="Times New Roman"/>
          <w:sz w:val="24"/>
        </w:rPr>
        <w:t>различители</w:t>
      </w:r>
      <w:r>
        <w:rPr>
          <w:rFonts w:ascii="Times New Roman" w:hAnsi="Times New Roman"/>
          <w:sz w:val="24"/>
        </w:rPr>
        <w:t xml:space="preserve"> синонимов</w:t>
      </w:r>
      <w:r>
        <w:rPr>
          <w:rFonts w:ascii="Times New Roman" w:hAnsi="Times New Roman"/>
          <w:sz w:val="24"/>
        </w:rPr>
        <w:t xml:space="preserve"> отражены в САР, что подчеркивает значимость</w:t>
      </w:r>
      <w:r>
        <w:rPr>
          <w:rFonts w:ascii="Times New Roman" w:hAnsi="Times New Roman"/>
          <w:sz w:val="24"/>
        </w:rPr>
        <w:t xml:space="preserve"> изучения </w:t>
      </w:r>
      <w:r>
        <w:rPr>
          <w:rFonts w:ascii="Times New Roman" w:hAnsi="Times New Roman"/>
          <w:sz w:val="24"/>
        </w:rPr>
        <w:t xml:space="preserve">«Опыта российского </w:t>
      </w:r>
      <w:r>
        <w:rPr>
          <w:rFonts w:ascii="Times New Roman" w:hAnsi="Times New Roman"/>
          <w:sz w:val="24"/>
        </w:rPr>
        <w:t>сословника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не только для характеристики метаязыка САР, но и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 xml:space="preserve">современной </w:t>
      </w:r>
      <w:r>
        <w:rPr>
          <w:rFonts w:ascii="Times New Roman" w:hAnsi="Times New Roman"/>
          <w:sz w:val="24"/>
        </w:rPr>
        <w:t>синонимической теории</w:t>
      </w:r>
      <w:r>
        <w:rPr>
          <w:rFonts w:ascii="Times New Roman" w:hAnsi="Times New Roman"/>
          <w:sz w:val="24"/>
        </w:rPr>
        <w:t>.</w:t>
      </w:r>
    </w:p>
    <w:p w14:paraId="0B000000">
      <w:pPr>
        <w:spacing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Литература</w:t>
      </w:r>
    </w:p>
    <w:p w14:paraId="0C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Словарь Академии Российской 1789–1794: В 6 т. М., 2001.</w:t>
      </w:r>
    </w:p>
    <w:p w14:paraId="0D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>Фонвизин Д.И.</w:t>
      </w:r>
      <w:r>
        <w:rPr>
          <w:rFonts w:ascii="Times New Roman" w:hAnsi="Times New Roman"/>
          <w:i w:val="0"/>
          <w:sz w:val="24"/>
        </w:rPr>
        <w:t xml:space="preserve"> Ф</w:t>
      </w:r>
      <w:r>
        <w:rPr>
          <w:rFonts w:ascii="Times New Roman" w:hAnsi="Times New Roman"/>
          <w:sz w:val="24"/>
        </w:rPr>
        <w:t xml:space="preserve">илологические работы // </w:t>
      </w:r>
      <w:r>
        <w:rPr>
          <w:rFonts w:ascii="Times New Roman" w:hAnsi="Times New Roman"/>
          <w:sz w:val="24"/>
        </w:rPr>
        <w:t>Фонвизин Д.И.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Собр. соч. в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z w:val="24"/>
        </w:rPr>
        <w:t xml:space="preserve"> томах</w:t>
      </w:r>
      <w:r>
        <w:rPr>
          <w:rFonts w:ascii="Times New Roman" w:hAnsi="Times New Roman"/>
          <w:sz w:val="24"/>
        </w:rPr>
        <w:t xml:space="preserve">. М.-Л., </w:t>
      </w:r>
      <w:r>
        <w:rPr>
          <w:rFonts w:ascii="Times New Roman" w:hAnsi="Times New Roman"/>
          <w:sz w:val="24"/>
        </w:rPr>
        <w:t>1959. Т. 1. С. 221–262.</w:t>
      </w:r>
    </w:p>
    <w:sectPr>
      <w:pgSz w:h="16848" w:orient="portrait" w:w="11908"/>
      <w:pgMar w:bottom="1134" w:footer="720" w:gutter="0" w:header="720" w:left="1417" w:right="141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sz w:val="28"/>
    </w:rPr>
  </w:style>
  <w:style w:styleId="Style_4_ch" w:type="character">
    <w:name w:val="toc 6"/>
    <w:link w:val="Style_4"/>
    <w:rPr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sz w:val="28"/>
    </w:rPr>
  </w:style>
  <w:style w:styleId="Style_5_ch" w:type="character">
    <w:name w:val="toc 7"/>
    <w:link w:val="Style_5"/>
    <w:rPr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6_ch" w:type="character">
    <w:name w:val="heading 3"/>
    <w:link w:val="Style_6"/>
    <w:rPr>
      <w:b w:val="1"/>
      <w:sz w:val="26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sz w:val="28"/>
    </w:rPr>
  </w:style>
  <w:style w:styleId="Style_8_ch" w:type="character">
    <w:name w:val="toc 3"/>
    <w:link w:val="Style_8"/>
    <w:rPr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1"/>
    <w:link w:val="Style_14_ch"/>
    <w:uiPriority w:val="39"/>
    <w:rPr>
      <w:b w:val="1"/>
      <w:sz w:val="28"/>
    </w:rPr>
  </w:style>
  <w:style w:styleId="Style_14_ch" w:type="character">
    <w:name w:val="toc 1"/>
    <w:link w:val="Style_14"/>
    <w:rPr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  <w:rPr>
      <w:sz w:val="28"/>
    </w:rPr>
  </w:style>
  <w:style w:styleId="Style_16_ch" w:type="character">
    <w:name w:val="toc 9"/>
    <w:link w:val="Style_16"/>
    <w:rPr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sz w:val="28"/>
    </w:rPr>
  </w:style>
  <w:style w:styleId="Style_19_ch" w:type="character">
    <w:name w:val="toc 5"/>
    <w:link w:val="Style_19"/>
    <w:rPr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i w:val="1"/>
    </w:rPr>
  </w:style>
  <w:style w:styleId="Style_20_ch" w:type="character">
    <w:name w:val="Subtitle"/>
    <w:link w:val="Style_20"/>
    <w:rPr>
      <w:i w:val="1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1_ch" w:type="character">
    <w:name w:val="Title"/>
    <w:link w:val="Style_21"/>
    <w:rPr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2_ch" w:type="character">
    <w:name w:val="heading 4"/>
    <w:link w:val="Style_22"/>
    <w:rPr>
      <w:b w:val="1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3_ch" w:type="character">
    <w:name w:val="heading 2"/>
    <w:link w:val="Style_23"/>
    <w:rPr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scripts/Script2.xml" Type="http://ncloudtech.com/ooxml/relationships/script"/>
  <Relationship Id="rId7" Target="scripts/Script1.xml" Type="http://ncloudtech.com/ooxml/relationships/script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scripts/Script1.xml><?xml version="1.0" encoding="utf-8"?>
<co-ooxml:macroScrip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Без имени">
  <code xml:space="preserve">local range = document:getRange()
local pos = range:getEnd()
text = range:extractText()
Allsymbols = utf8.len(text)
local newLine = 0
for text in string.gmatch(text, "\n") do
newLine = newLine + 1
end
Symb = Allsymbols - newLine
_,Word = text:gsub("%S+","")
pos:insertText("Выводы")
t_id = pos:insertTable(2,2,"SomeTable")
local tbl= document:getBlocks():getTable(t_id)
tbl:getCell(DocumentAPI.CellPosition(0,0)):setText("Количество символов")
tbl:getCell(DocumentAPI.CellPosition(1,0)):setText("Количество слов")
tbl:getCell(DocumentAPI.CellPosition(0,1)):setText(tostring(Symb))
tbl:getCell(DocumentAPI.CellPosition(1,1)):setText(tostring(Word))</code>
</co-ooxml:macroScript>
</file>

<file path=word/scripts/Script2.xml><?xml version="1.0" encoding="utf-8"?>
<co-ooxml:macroScrip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Без имени 1">
  <code xml:space="preserve"/>
</co-ooxml:macroScript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2025-03-02T16:38:00Z</dcterms:modified>
</cp:coreProperties>
</file>