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spacing w:after="0" w:line="240" w:lineRule="auto"/>
        <w:ind w:firstLine="709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Именные формы прилагательных в новгородских берестяных грамотах</w:t>
      </w:r>
    </w:p>
    <w:p>
      <w:pPr>
        <w:spacing w:after="0" w:line="240" w:lineRule="auto"/>
        <w:ind w:firstLine="709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Иванова Ксения Евгеньевна</w:t>
      </w:r>
    </w:p>
    <w:p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Студентка Московского государственного университета имени М.В.Ломоносова, Москва, Россия</w:t>
      </w: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Как известно, в древнерусском языке система форм имён прилагательных значительно отличалась от ее состояния в современном русском языке. </w:t>
      </w:r>
      <w:r>
        <w:rPr>
          <w:rFonts w:ascii="Times New Roman" w:cs="Times New Roman" w:hAnsi="Times New Roman"/>
          <w:color w:val="000000"/>
          <w:sz w:val="24"/>
          <w:szCs w:val="24"/>
        </w:rPr>
        <w:t>В современном русском языке два ряда форм имеют только качественные прилагательные, которые могут выполнять в тексте пр</w:t>
      </w:r>
      <w:r>
        <w:rPr>
          <w:rFonts w:ascii="Times New Roman" w:cs="Times New Roman" w:hAnsi="Times New Roman"/>
          <w:color w:val="000000"/>
          <w:sz w:val="24"/>
          <w:szCs w:val="24"/>
        </w:rPr>
        <w:t>едикативную (и краткие, и полные) или атрибутивную (только полные) функцию. При этом относительные прилагательные кратких форм не имеют вовсе. В древнерусском же языке была иная ситуация: именные и местоименные формы имели прилагательные обоих разрядов</w:t>
      </w:r>
      <w:r>
        <w:rPr>
          <w:rFonts w:ascii="Times New Roman" w:cs="Times New Roman" w:hAnsi="Times New Roman"/>
          <w:color w:val="000000"/>
          <w:sz w:val="24"/>
          <w:szCs w:val="24"/>
        </w:rPr>
        <w:t>.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Что касается их синтаксических функций, то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у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же </w:t>
      </w:r>
      <w:r>
        <w:rPr>
          <w:rFonts w:ascii="Times New Roman" w:cs="Times New Roman" w:hAnsi="Times New Roman"/>
          <w:color w:val="000000"/>
          <w:sz w:val="24"/>
          <w:szCs w:val="24"/>
        </w:rPr>
        <w:t>в период появления первый памятников письменности на древнерусском языке полные прилагательные начали проникать в позицию предиката, хотя в праславянском языке,</w:t>
      </w:r>
      <w:bookmarkStart w:id="0" w:name="_GoBack"/>
      <w:bookmarkEnd w:id="0"/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предположительно, употреблялись только в качестве опре</w:t>
      </w:r>
      <w:r>
        <w:rPr>
          <w:rFonts w:ascii="Times New Roman" w:cs="Times New Roman" w:hAnsi="Times New Roman"/>
          <w:color w:val="000000"/>
          <w:sz w:val="24"/>
          <w:szCs w:val="24"/>
        </w:rPr>
        <w:t>деления; а краткие формы продолжали функционировать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как предикат и как атрибут [Галинская 2016: 263]. Однако примеры употребления в древнейших текстах местоименных прилагательных в качестве предиката являются редкостью. </w:t>
      </w: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В докладе будут рассмотрены именны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е формы прилагательных на материале новгородских берестяных грамот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XI</w:t>
      </w:r>
      <w:r>
        <w:rPr>
          <w:rFonts w:ascii="Times New Roman" w:cs="Times New Roman" w:hAnsi="Times New Roman"/>
          <w:color w:val="000000"/>
          <w:sz w:val="24"/>
          <w:szCs w:val="24"/>
        </w:rPr>
        <w:t>-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XV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вв., в которых встретились примеры как стандартного (наддиалектного), так и особого древненовгородского склонения.</w:t>
      </w: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Несмотря на то, что еще в 1990 г. в книге Г.А. Хабургаева отмечалось</w:t>
      </w:r>
      <w:r>
        <w:rPr>
          <w:rFonts w:ascii="Times New Roman" w:cs="Times New Roman" w:hAnsi="Times New Roman"/>
          <w:sz w:val="24"/>
          <w:szCs w:val="24"/>
        </w:rPr>
        <w:t xml:space="preserve">, что относительные прилагательные в именной форме фиксируются лишь в редких случаях и только в атрибутивной позиции </w:t>
      </w:r>
      <w:r>
        <w:rPr>
          <w:rFonts w:ascii="Times New Roman" w:cs="Times New Roman" w:hAnsi="Times New Roman"/>
          <w:color w:val="000000"/>
          <w:sz w:val="24"/>
          <w:szCs w:val="24"/>
        </w:rPr>
        <w:t>[Хабургаев 1990: 183]</w:t>
      </w:r>
      <w:r>
        <w:rPr>
          <w:rFonts w:ascii="Times New Roman" w:cs="Times New Roman" w:hAnsi="Times New Roman"/>
          <w:sz w:val="24"/>
          <w:szCs w:val="24"/>
        </w:rPr>
        <w:t>, число относительных именных прилагательных в атрибутивной функции в изученных грамотах примерно равно числу качестве</w:t>
      </w:r>
      <w:r>
        <w:rPr>
          <w:rFonts w:ascii="Times New Roman" w:cs="Times New Roman" w:hAnsi="Times New Roman"/>
          <w:sz w:val="24"/>
          <w:szCs w:val="24"/>
        </w:rPr>
        <w:t xml:space="preserve">нных именных прилагательных в такой же позиции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(в 15 грамотах – относительные прилагательные, в 18 грамотах – качественные). Тем не менее в предикативной позиции краткие формы относительных прилагательных действительно не встретились, </w:t>
      </w:r>
      <w:r>
        <w:rPr>
          <w:rFonts w:ascii="Times New Roman" w:cs="Times New Roman" w:hAnsi="Times New Roman"/>
          <w:sz w:val="24"/>
          <w:szCs w:val="24"/>
        </w:rPr>
        <w:t>что может быть связан</w:t>
      </w:r>
      <w:r>
        <w:rPr>
          <w:rFonts w:ascii="Times New Roman" w:cs="Times New Roman" w:hAnsi="Times New Roman"/>
          <w:sz w:val="24"/>
          <w:szCs w:val="24"/>
        </w:rPr>
        <w:t xml:space="preserve">о с особенностями их категориального значения </w:t>
      </w:r>
      <w:r>
        <w:rPr>
          <w:rFonts w:ascii="Times New Roman" w:cs="Times New Roman" w:hAnsi="Times New Roman"/>
          <w:color w:val="000000"/>
          <w:sz w:val="24"/>
          <w:szCs w:val="24"/>
        </w:rPr>
        <w:t>– признак, выражающий отношение к другому предмету или признаку.</w:t>
      </w: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Относительные краткие прилагательные в атрибутивной функции встретились только в именительном, винительном и местном падежах единственного и множ</w:t>
      </w:r>
      <w:r>
        <w:rPr>
          <w:rFonts w:ascii="Times New Roman" w:cs="Times New Roman" w:hAnsi="Times New Roman"/>
          <w:color w:val="000000"/>
          <w:sz w:val="24"/>
          <w:szCs w:val="24"/>
        </w:rPr>
        <w:t>ественного числа, двойственное число не встретилось. Формы с особыми древненовгородскими окончаниями встретились в грамотах №607/562, №580, в остальных же представлены формы, в которых диалектные окончания совпадают с окончаниями стандартного древнерусског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о языка. </w:t>
      </w: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Большинство качественных именных прилагательных в атрибутивной позиции встретилось в форме женского рода, в среднем и мужском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– гораздо реже. Лишь в одной грамоте (№713) представлено древненовгородское окончание: в форме р.п. ед.ч. ж.р. </w:t>
      </w:r>
      <w:r>
        <w:rPr>
          <w:rFonts w:ascii="Times New Roman" w:cs="Lucida Sans Unicode" w:hAnsi="Times New Roman"/>
          <w:i/>
          <w:iCs/>
          <w:color w:val="000000"/>
          <w:sz w:val="24"/>
          <w:szCs w:val="24"/>
        </w:rPr>
        <w:t>(и голоуб</w:t>
      </w:r>
      <w:r>
        <w:rPr>
          <w:rFonts w:ascii="Times New Roman" w:cs="Lucida Sans Unicode" w:hAnsi="Times New Roman"/>
          <w:i/>
          <w:iCs/>
          <w:color w:val="000000"/>
          <w:sz w:val="24"/>
          <w:szCs w:val="24"/>
        </w:rPr>
        <w:t>ине добре).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В других текстах новгородские окончания совпадают со стандартными (наддиалектными).</w:t>
      </w: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 древнерусском языке в качестве предиката могли быть употреблены именные формы только качественных прилагательных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В рассмотренных грамотах п</w:t>
      </w:r>
      <w:r>
        <w:rPr>
          <w:rFonts w:ascii="Times New Roman" w:cs="Times New Roman" w:hAnsi="Times New Roman"/>
          <w:color w:val="000000"/>
          <w:sz w:val="24"/>
          <w:szCs w:val="24"/>
        </w:rPr>
        <w:t>рилагательные, вып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олняющие предикативную функцию и при этом отражающие особенности древненовгородского диалекта, встречаются гораздо чаще, чем в атрибутивной функции: и.п. ед.ч. м.р. (№247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XI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в., №351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XIII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в., №1147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XV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в. – всего 8 грамот); и.п. мн.ч. м.р. (№286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XIV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в., №242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XV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в.); и.п. мн.ч. ж.р. (№247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XI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в., Ст.Р. 33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XII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в.).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ind w:firstLine="709"/>
        <w:jc w:val="both"/>
        <w:rPr>
          <w:rFonts w:ascii="Times New Roman" w:cs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Как уже было сказано выше, в древнерусском языке краткие формы прилагательных могли употребляться и предикативно, и атрибутивно, но постепенно наметилась тенденция к вытеснению этих форм из п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озиции атрибута, где они стали заменяться полными прилагательными. Со временем, когда именные прилагательные </w:t>
      </w:r>
      <w:r>
        <w:rPr>
          <w:rFonts w:ascii="Times New Roman" w:cs="Times New Roman" w:hAnsi="Times New Roman"/>
          <w:color w:val="000000"/>
          <w:sz w:val="24"/>
          <w:szCs w:val="24"/>
        </w:rPr>
        <w:t>стали употребляться только в качестве сказуемого, они утратили все падежные формы кроме именительного падежа [Галинская 2016: 263-265]. В связи с э</w:t>
      </w:r>
      <w:r>
        <w:rPr>
          <w:rFonts w:ascii="Times New Roman" w:cs="Times New Roman" w:hAnsi="Times New Roman"/>
          <w:color w:val="000000"/>
          <w:sz w:val="24"/>
          <w:szCs w:val="24"/>
        </w:rPr>
        <w:t>тим в современном русском языке краткие прилагательные могут быть использованы только в предикативной функции и только в неизменяемой форме именительного падежа (но изменяются по числам и в единственном числе по родам). Однако в древнерусском языке нечленн</w:t>
      </w:r>
      <w:r>
        <w:rPr>
          <w:rFonts w:ascii="Times New Roman" w:cs="Times New Roman" w:hAnsi="Times New Roman"/>
          <w:color w:val="000000"/>
          <w:sz w:val="24"/>
          <w:szCs w:val="24"/>
        </w:rPr>
        <w:t>ые формы прилагательных имели склонение не только в атрибутивной, но и предикативной позиции. А. А. Шахматов отмечает, что в предикате именные формы могли стоять в именительном, винительном, дательном и творительном падежах [Шахматов 1957: 118]. Несмотря н</w:t>
      </w:r>
      <w:r>
        <w:rPr>
          <w:rFonts w:ascii="Times New Roman" w:cs="Times New Roman" w:hAnsi="Times New Roman"/>
          <w:color w:val="000000"/>
          <w:sz w:val="24"/>
          <w:szCs w:val="24"/>
        </w:rPr>
        <w:t>а редкость этого явления, несколько примеров такого употребления были обнаружены:</w:t>
      </w:r>
      <w:r>
        <w:rPr>
          <w:rFonts w:ascii="Lucida Sans Unicode" w:cs="Lucida Sans Unicode" w:hAnsi="Lucida Sans Unicode"/>
          <w:color w:val="000000"/>
          <w:sz w:val="24"/>
          <w:szCs w:val="24"/>
        </w:rPr>
        <w:t xml:space="preserve"> </w:t>
      </w:r>
      <w:r>
        <w:rPr>
          <w:rFonts w:ascii="Times New Roman" w:cs="Lucida Sans Unicode" w:hAnsi="Times New Roman"/>
          <w:i/>
          <w:iCs/>
          <w:color w:val="000000"/>
          <w:sz w:val="24"/>
          <w:szCs w:val="24"/>
        </w:rPr>
        <w:t>(ѧ)[зъ] т[и] сѧ пок[ла]н[ѧю по]</w:t>
      </w:r>
      <w:r>
        <w:rPr>
          <w:rFonts w:ascii="Times New Roman" w:cs="Lucida Sans Unicode" w:hAnsi="Times New Roman"/>
          <w:color w:val="000000"/>
          <w:sz w:val="24"/>
          <w:szCs w:val="24"/>
        </w:rPr>
        <w:t xml:space="preserve"> </w:t>
      </w:r>
      <w:r>
        <w:rPr>
          <w:rFonts w:ascii="Times New Roman" w:cs="Lucida Sans Unicode" w:hAnsi="Times New Roman"/>
          <w:b/>
          <w:bCs/>
          <w:i/>
          <w:iCs/>
          <w:color w:val="000000"/>
          <w:sz w:val="24"/>
          <w:szCs w:val="24"/>
        </w:rPr>
        <w:t>сторовоу</w:t>
      </w:r>
      <w:r>
        <w:rPr>
          <w:rFonts w:ascii="Times New Roman" w:cs="Lucida Sans Unicode" w:hAnsi="Times New Roman"/>
          <w:color w:val="000000"/>
          <w:sz w:val="24"/>
          <w:szCs w:val="24"/>
        </w:rPr>
        <w:t xml:space="preserve"> ва </w:t>
      </w:r>
      <w:r>
        <w:rPr>
          <w:rFonts w:ascii="Times New Roman" w:cs="Lucida Sans Unicode" w:hAnsi="Times New Roman"/>
          <w:i/>
          <w:iCs/>
          <w:color w:val="000000"/>
          <w:sz w:val="24"/>
          <w:szCs w:val="24"/>
        </w:rPr>
        <w:t>есмы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№950 (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XI</w:t>
      </w:r>
      <w:r>
        <w:rPr>
          <w:rFonts w:ascii="Times New Roman" w:cs="Times New Roman" w:hAnsi="Times New Roman"/>
          <w:color w:val="000000"/>
          <w:sz w:val="24"/>
          <w:szCs w:val="24"/>
        </w:rPr>
        <w:t>-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XII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в.);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Lucida Sans Unicode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cs="Lucida Sans Unicode" w:hAnsi="Times New Roman"/>
          <w:color w:val="000000"/>
          <w:sz w:val="24"/>
          <w:szCs w:val="24"/>
        </w:rPr>
        <w:t xml:space="preserve"> </w:t>
      </w:r>
      <w:r>
        <w:rPr>
          <w:rFonts w:ascii="Times New Roman" w:cs="Lucida Sans Unicode" w:hAnsi="Times New Roman"/>
          <w:i/>
          <w:iCs/>
          <w:color w:val="000000"/>
          <w:sz w:val="24"/>
          <w:szCs w:val="24"/>
        </w:rPr>
        <w:t>ныне</w:t>
      </w:r>
      <w:r>
        <w:rPr>
          <w:rFonts w:ascii="Times New Roman" w:cs="Lucida Sans Unicode" w:hAnsi="Times New Roman"/>
          <w:color w:val="000000"/>
          <w:sz w:val="24"/>
          <w:szCs w:val="24"/>
        </w:rPr>
        <w:t xml:space="preserve"> </w:t>
      </w:r>
      <w:r>
        <w:rPr>
          <w:rFonts w:ascii="Times New Roman" w:cs="Lucida Sans Unicode" w:hAnsi="Times New Roman"/>
          <w:i/>
          <w:iCs/>
          <w:color w:val="000000"/>
          <w:sz w:val="24"/>
          <w:szCs w:val="24"/>
        </w:rPr>
        <w:t>слышю</w:t>
      </w:r>
      <w:r>
        <w:rPr>
          <w:rFonts w:ascii="Times New Roman" w:cs="Lucida Sans Unicode" w:hAnsi="Times New Roman"/>
          <w:color w:val="000000"/>
          <w:sz w:val="24"/>
          <w:szCs w:val="24"/>
        </w:rPr>
        <w:t xml:space="preserve"> </w:t>
      </w:r>
      <w:r>
        <w:rPr>
          <w:rFonts w:ascii="Times New Roman" w:cs="Lucida Sans Unicode" w:hAnsi="Times New Roman"/>
          <w:b/>
          <w:bCs/>
          <w:i/>
          <w:iCs/>
          <w:color w:val="000000"/>
          <w:sz w:val="24"/>
          <w:szCs w:val="24"/>
        </w:rPr>
        <w:t>боленоу</w:t>
      </w:r>
      <w:r>
        <w:rPr>
          <w:rFonts w:ascii="Times New Roman" w:cs="Lucida Sans Unicode" w:hAnsi="Times New Roman"/>
          <w:color w:val="000000"/>
          <w:sz w:val="24"/>
          <w:szCs w:val="24"/>
        </w:rPr>
        <w:t xml:space="preserve"> </w:t>
      </w:r>
      <w:r>
        <w:rPr>
          <w:rFonts w:ascii="Times New Roman" w:cs="Lucida Sans Unicode" w:hAnsi="Times New Roman"/>
          <w:i/>
          <w:iCs/>
          <w:color w:val="000000"/>
          <w:sz w:val="24"/>
          <w:szCs w:val="24"/>
        </w:rPr>
        <w:t>сестроу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№705 (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XIII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в.); </w:t>
      </w:r>
      <w:r>
        <w:rPr>
          <w:rFonts w:ascii="Times New Roman" w:cs="Lucida Sans Unicode" w:hAnsi="Times New Roman"/>
          <w:i/>
          <w:iCs/>
          <w:color w:val="000000"/>
          <w:sz w:val="24"/>
          <w:szCs w:val="24"/>
        </w:rPr>
        <w:t>а па(къ творѧ)ть</w:t>
      </w:r>
      <w:r>
        <w:rPr>
          <w:rFonts w:ascii="Times New Roman" w:cs="Lucida Sans Unicode" w:hAnsi="Times New Roman"/>
          <w:color w:val="000000"/>
          <w:sz w:val="24"/>
          <w:szCs w:val="24"/>
        </w:rPr>
        <w:t xml:space="preserve"> </w:t>
      </w:r>
      <w:r>
        <w:rPr>
          <w:rFonts w:ascii="Times New Roman" w:cs="Lucida Sans Unicode" w:hAnsi="Times New Roman"/>
          <w:b/>
          <w:bCs/>
          <w:i/>
          <w:iCs/>
          <w:color w:val="000000"/>
          <w:sz w:val="24"/>
          <w:szCs w:val="24"/>
        </w:rPr>
        <w:t>виновату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№129 (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XIV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в.)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Н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аиболее последовательно древненовгородское склонение проявляет себя в формах именительного падежа мужского рода единственного числа, что может быть связано с частотностью их употребления в разных контекстах и функциях. Что касается падежных форм, то можно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отметить следующее: наиболее употребительными являются формы именительного (более 70) и винительного падежа (около 20); </w:t>
      </w:r>
      <w:r>
        <w:rPr>
          <w:rFonts w:ascii="Times New Roman" w:cs="Times New Roman" w:hAnsi="Times New Roman"/>
          <w:sz w:val="24"/>
          <w:szCs w:val="24"/>
        </w:rPr>
        <w:t>форма местного падежа встретилась только в грамотах №380 (</w:t>
      </w:r>
      <w:r>
        <w:rPr>
          <w:rFonts w:ascii="Times New Roman" w:cs="Times New Roman" w:hAnsi="Times New Roman"/>
          <w:sz w:val="24"/>
          <w:szCs w:val="24"/>
          <w:lang w:val="en-US"/>
        </w:rPr>
        <w:t>XII</w:t>
      </w:r>
      <w:r>
        <w:rPr>
          <w:rFonts w:ascii="Times New Roman" w:cs="Times New Roman" w:hAnsi="Times New Roman"/>
          <w:sz w:val="24"/>
          <w:szCs w:val="24"/>
        </w:rPr>
        <w:t xml:space="preserve"> в.) и №580 (</w:t>
      </w:r>
      <w:r>
        <w:rPr>
          <w:rFonts w:ascii="Times New Roman" w:cs="Times New Roman" w:hAnsi="Times New Roman"/>
          <w:sz w:val="24"/>
          <w:szCs w:val="24"/>
          <w:lang w:val="en-US"/>
        </w:rPr>
        <w:t>XIV</w:t>
      </w:r>
      <w:r>
        <w:rPr>
          <w:rFonts w:ascii="Times New Roman" w:cs="Times New Roman" w:hAnsi="Times New Roman"/>
          <w:sz w:val="24"/>
          <w:szCs w:val="24"/>
        </w:rPr>
        <w:t xml:space="preserve"> в.); форма родительного падежа также встретилась два раз </w:t>
      </w:r>
      <w:r>
        <w:rPr>
          <w:rFonts w:ascii="Times New Roman" w:cs="Times New Roman" w:hAnsi="Times New Roman"/>
          <w:color w:val="000000"/>
          <w:sz w:val="24"/>
          <w:szCs w:val="24"/>
        </w:rPr>
        <w:t>–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№713 (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XIII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в.), Ст. Р. 47 (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XIV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в.); </w:t>
      </w:r>
      <w:r>
        <w:rPr>
          <w:rFonts w:ascii="Times New Roman" w:cs="Times New Roman" w:hAnsi="Times New Roman"/>
          <w:sz w:val="24"/>
          <w:szCs w:val="24"/>
        </w:rPr>
        <w:t xml:space="preserve">форма дательного падежа </w:t>
      </w:r>
      <w:r>
        <w:rPr>
          <w:rFonts w:ascii="Times New Roman" w:cs="Times New Roman" w:hAnsi="Times New Roman"/>
          <w:color w:val="000000"/>
          <w:sz w:val="24"/>
          <w:szCs w:val="24"/>
        </w:rPr>
        <w:t>– только в №950 (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XI</w:t>
      </w:r>
      <w:r>
        <w:rPr>
          <w:rFonts w:ascii="Times New Roman" w:cs="Times New Roman" w:hAnsi="Times New Roman"/>
          <w:color w:val="000000"/>
          <w:sz w:val="24"/>
          <w:szCs w:val="24"/>
        </w:rPr>
        <w:t>-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XII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вв.); </w:t>
      </w:r>
      <w:r>
        <w:rPr>
          <w:rFonts w:ascii="Times New Roman" w:cs="Times New Roman" w:hAnsi="Times New Roman"/>
          <w:sz w:val="24"/>
          <w:szCs w:val="24"/>
        </w:rPr>
        <w:t>прилагательное в форме творительного падежа не встретилось.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Таким образом, в изученном материале именные формы прилагательных в предикативной функции встречались чащ</w:t>
      </w:r>
      <w:r>
        <w:rPr>
          <w:rFonts w:ascii="Times New Roman" w:cs="Times New Roman" w:hAnsi="Times New Roman"/>
          <w:sz w:val="24"/>
          <w:szCs w:val="24"/>
        </w:rPr>
        <w:t xml:space="preserve">е, чем в атрибутивной (примерно 2:1). При этом уже начиная с </w:t>
      </w:r>
      <w:r>
        <w:rPr>
          <w:rFonts w:ascii="Times New Roman" w:cs="Times New Roman" w:hAnsi="Times New Roman"/>
          <w:sz w:val="24"/>
          <w:szCs w:val="24"/>
          <w:lang w:val="en-US"/>
        </w:rPr>
        <w:t>XI</w:t>
      </w:r>
      <w:r>
        <w:rPr>
          <w:rFonts w:ascii="Times New Roman" w:cs="Times New Roman" w:hAnsi="Times New Roman"/>
          <w:sz w:val="24"/>
          <w:szCs w:val="24"/>
        </w:rPr>
        <w:t xml:space="preserve"> века в формах, где возможно вариативное употребление и новгородских и наддиалектных окончаний, наравне с особыми диалектными используются формы стандартного древнерусского языка, которые посте</w:t>
      </w:r>
      <w:r>
        <w:rPr>
          <w:rFonts w:ascii="Times New Roman" w:cs="Times New Roman" w:hAnsi="Times New Roman"/>
          <w:sz w:val="24"/>
          <w:szCs w:val="24"/>
        </w:rPr>
        <w:t xml:space="preserve">пенно вытесняют из употребления древненовгородские, встречающиеся в грамотах </w:t>
      </w:r>
      <w:r>
        <w:rPr>
          <w:rFonts w:ascii="Times New Roman" w:cs="Times New Roman" w:hAnsi="Times New Roman"/>
          <w:sz w:val="24"/>
          <w:szCs w:val="24"/>
          <w:lang w:val="en-US"/>
        </w:rPr>
        <w:t>XV</w:t>
      </w:r>
      <w:r>
        <w:rPr>
          <w:rFonts w:ascii="Times New Roman" w:cs="Times New Roman" w:hAnsi="Times New Roman"/>
          <w:sz w:val="24"/>
          <w:szCs w:val="24"/>
        </w:rPr>
        <w:t xml:space="preserve"> века лишь в единичных случаях.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ind w:firstLine="709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Литература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 xml:space="preserve">Галинская Е.А. </w:t>
      </w:r>
      <w:r>
        <w:rPr>
          <w:rFonts w:ascii="Times New Roman" w:cs="Times New Roman" w:hAnsi="Times New Roman"/>
          <w:sz w:val="24"/>
          <w:szCs w:val="24"/>
        </w:rPr>
        <w:t>Историческая грамматика русского языка: Фонетика. Морфология: Изд. 2-е, испр. – М., 2016.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iCs/>
          <w:color w:val="000000"/>
          <w:sz w:val="24"/>
          <w:szCs w:val="24"/>
        </w:rPr>
        <w:t xml:space="preserve">Хабургаев Г.А. </w:t>
      </w:r>
      <w:r>
        <w:rPr>
          <w:rFonts w:ascii="Times New Roman" w:cs="Times New Roman" w:hAnsi="Times New Roman"/>
          <w:color w:val="000000"/>
          <w:sz w:val="24"/>
          <w:szCs w:val="24"/>
        </w:rPr>
        <w:t>Очерки исторической морфологии русского языка. М., 1990.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ind w:firstLine="709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Шахматов А.А.</w:t>
      </w:r>
      <w:r>
        <w:rPr>
          <w:rFonts w:ascii="Times New Roman" w:cs="Times New Roman" w:hAnsi="Times New Roman"/>
          <w:sz w:val="24"/>
          <w:szCs w:val="24"/>
        </w:rPr>
        <w:t xml:space="preserve"> Историческая морфология русского языка. М., 1957.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sectPr>
      <w:pgSz w:w="11906" w:h="16838"/>
      <w:pgMar w:top="1134" w:right="1417" w:bottom="1134" w:left="1417" w:header="708" w:footer="708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00000001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DengXian Light">
    <w:charset w:val="86"/>
    <w:family w:val="auto"/>
    <w:pitch w:val="variable"/>
    <w:sig w:usb0="00000001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20002a87" w:usb1="00000000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00000000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Елена Галинская">
    <w15:presenceInfo w15:providerId="None" w15:userId="Елена Галинска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0D"/>
    <w:rsid w:val="00105B8E"/>
    <w:rsid w:val="007D47D5"/>
    <w:rsid w:val="00870918"/>
    <w:rsid w:val="00AE180D"/>
    <w:rsid w:val="00C431F1"/>
    <w:rsid w:val="00DA7271"/>
    <w:rsid w:val="00DE34E3"/>
    <w:rsid w:val="00E63999"/>
    <w:rsid w:val="00F5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BC34"/>
  <w15:docId w15:val="{33E33CF7-9F02-41A9-A62F-5295F75C84F9}"/>
  <w:footnotePr/>
  <w:endnotePr/>
  <w:trackRevisions w:val="on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ru-RU" w:bidi="ar-SA" w:eastAsia="ru-RU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Заголовок1Знак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Заголовок2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Заголовок3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Заголовок4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Заголовок5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Заголовок6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Заголовок7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Заголовок8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Заголовок9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Заголовок2Знак">
    <w:name w:val="Заголовок 2 Знак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Заголовок3Знак">
    <w:name w:val="Заголовок 3 Знак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Заголовок4Знак">
    <w:name w:val="Заголовок 4 Знак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Заголовок5Знак">
    <w:name w:val="Заголовок 5 Знак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Заголовок6Знак">
    <w:name w:val="Заголовок 6 Знак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Заголовок7Знак">
    <w:name w:val="Заголовок 7 Знак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Заголовок8Знак">
    <w:name w:val="Заголовок 8 Знак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Заголовок9Знак">
    <w:name w:val="Заголовок 9 Знак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ЗаголовокЗнак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ЗаголовокЗнак">
    <w:name w:val="Заголовок Знак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ПодзаголовокЗнак"/>
    <w:uiPriority w:val="11"/>
    <w:qFormat w:val="on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ПодзаголовокЗнак">
    <w:name w:val="Подзаголовок Знак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Цитата2Знак"/>
    <w:uiPriority w:val="29"/>
    <w:qFormat w:val="on"/>
    <w:rPr>
      <w:i/>
      <w:iCs/>
      <w:color w:val="000000" w:themeColor="text1"/>
    </w:rPr>
  </w:style>
  <w:style w:type="character" w:customStyle="1" w:styleId="Цитата2Знак">
    <w:name w:val="Цитата 2 Знак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ВыделеннаяцитатаЗнак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ВыделеннаяцитатаЗнак">
    <w:name w:val="Выделенная цитата Знак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Текст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сноскиЗнак">
    <w:name w:val="Текст сноски Знак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Текстконцевой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концевойсноскиЗнак">
    <w:name w:val="Текст концевой сноски Знак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ТекстЗнак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ТекстЗнак">
    <w:name w:val="Текст Знак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ВерхнийколонтитулЗнак"/>
    <w:uiPriority w:val="99"/>
    <w:unhideWhenUsed w:val="on"/>
    <w:pPr>
      <w:spacing w:after="0"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НижнийколонтитулЗнак"/>
    <w:uiPriority w:val="99"/>
    <w:unhideWhenUsed w:val="on"/>
    <w:pPr>
      <w:spacing w:after="0"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</w:style>
  <w:style w:type="paragraph" w:customStyle="1" w:styleId="заголовоктри">
    <w:name w:val="заголовок три"/>
    <w:basedOn w:val="Normal"/>
    <w:link w:val="заголовоктриЗнак"/>
    <w:uiPriority w:val="99"/>
    <w:qFormat w:val="on"/>
    <w:pPr>
      <w:jc w:val="center"/>
    </w:pPr>
    <w:rPr>
      <w:rFonts w:eastAsia="Calibri"/>
      <w:sz w:val="28"/>
      <w:szCs w:val="28"/>
      <w:lang w:eastAsia="en-US"/>
    </w:rPr>
  </w:style>
  <w:style w:type="character" w:customStyle="1" w:styleId="заголовоктриЗнак">
    <w:name w:val="заголовок три Знак"/>
    <w:link w:val="заголовоктри"/>
    <w:uiPriority w:val="99"/>
    <w:rPr>
      <w:rFonts w:eastAsia="Calibri" w:hint="default"/>
      <w:sz w:val="28"/>
      <w:szCs w:val="28"/>
      <w:lang w:eastAsia="en-US"/>
    </w:rPr>
  </w:style>
  <w:style w:type="character" w:styleId="Annotationreference">
    <w:name w:val="Annotation reference"/>
    <w:basedOn w:val="DefaultParagraphFont"/>
    <w:uiPriority w:val="99"/>
    <w:semiHidden w:val="on"/>
    <w:unhideWhenUsed w:val="on"/>
    <w:rPr>
      <w:sz w:val="16"/>
      <w:szCs w:val="16"/>
    </w:rPr>
  </w:style>
  <w:style w:type="paragraph" w:styleId="Annotationtext">
    <w:name w:val="Annotation text"/>
    <w:basedOn w:val="Normal"/>
    <w:link w:val="ТекстпримечанияЗнак"/>
    <w:uiPriority w:val="99"/>
    <w:semiHidden w:val="on"/>
    <w:unhideWhenUsed w:val="on"/>
    <w:pPr>
      <w:spacing w:line="240" w:lineRule="auto"/>
    </w:pPr>
    <w:rPr>
      <w:sz w:val="20"/>
      <w:szCs w:val="20"/>
    </w:rPr>
  </w:style>
  <w:style w:type="character" w:customStyle="1" w:styleId="ТекстпримечанияЗнак">
    <w:name w:val="Текст примечания Знак"/>
    <w:basedOn w:val="DefaultParagraphFont"/>
    <w:link w:val="Annotationtext"/>
    <w:uiPriority w:val="99"/>
    <w:semiHidden w:val="on"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ТемапримечанияЗнак"/>
    <w:uiPriority w:val="99"/>
    <w:semiHidden w:val="on"/>
    <w:unhideWhenUsed w:val="on"/>
    <w:rPr>
      <w:b/>
      <w:bCs/>
    </w:rPr>
  </w:style>
  <w:style w:type="character" w:customStyle="1" w:styleId="ТемапримечанияЗнак">
    <w:name w:val="Тема примечания Знак"/>
    <w:basedOn w:val="ТекстпримечанияЗнак"/>
    <w:link w:val="Annotationsubject"/>
    <w:uiPriority w:val="99"/>
    <w:semiHidden w:val="on"/>
    <w:rPr>
      <w:b/>
      <w:bCs/>
      <w:sz w:val="20"/>
      <w:szCs w:val="20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Segoe UI" w:cs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7" Type="http://schemas.openxmlformats.org/officeDocument/2006/relationships/theme" Target="theme/theme1.xml"/><Relationship Id="rId4" Type="http://schemas.openxmlformats.org/officeDocument/2006/relationships/webSettings" Target="webSettings.xml"/><Relationship Id="rId6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906</Words>
  <Characters>5034</Characters>
  <Application>Microsoft Office Word</Application>
  <DocSecurity>0</DocSecurity>
  <Lines>98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Ксения</dc:creator>
  <cp:lastModifiedBy>Иванова Ксения</cp:lastModifiedBy>
</cp:coreProperties>
</file>